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1F4F" w14:textId="23695F8E" w:rsidR="00CC4B3F" w:rsidRPr="005711EA" w:rsidRDefault="00401861">
      <w:pPr>
        <w:pStyle w:val="Corpsdetexte"/>
        <w:ind w:hanging="900"/>
        <w:jc w:val="left"/>
        <w:rPr>
          <w:rFonts w:ascii="Times New Roman" w:hAnsi="Times New Roman"/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4C9DB" wp14:editId="3C8A5EF3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4800600" cy="1817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074973" w14:textId="14D3DDFF" w:rsidR="0077736B" w:rsidRPr="0077736B" w:rsidRDefault="00CC4B3F" w:rsidP="0077736B">
                            <w:pPr>
                              <w:pStyle w:val="Corpsdetexte"/>
                              <w:contextualSpacing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Compte rendu de la </w:t>
                            </w:r>
                            <w:r w:rsidR="00B0063A">
                              <w:rPr>
                                <w:b/>
                                <w:bCs/>
                              </w:rPr>
                              <w:t>réunion</w:t>
                            </w:r>
                            <w:r w:rsidR="00835C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E3FEA">
                              <w:rPr>
                                <w:b/>
                                <w:bCs/>
                              </w:rPr>
                              <w:t xml:space="preserve">de la Commission Paritaire </w:t>
                            </w:r>
                            <w:r w:rsidR="0077736B">
                              <w:rPr>
                                <w:b/>
                                <w:bCs/>
                              </w:rPr>
                              <w:t xml:space="preserve">Permanente de négociation et d’interprétation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 w:rsidR="0040186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REMONTEES ME</w:t>
                            </w:r>
                            <w:r w:rsidR="00E8358E">
                              <w:rPr>
                                <w:b/>
                                <w:bCs/>
                                <w:sz w:val="36"/>
                              </w:rPr>
                              <w:t>CANIQUES et DOMAINES SKIABLES</w:t>
                            </w:r>
                          </w:p>
                          <w:p w14:paraId="6299B92F" w14:textId="1F610F8D" w:rsidR="00CC4B3F" w:rsidRPr="00D24ABC" w:rsidRDefault="00401861" w:rsidP="0077736B">
                            <w:pPr>
                              <w:pStyle w:val="Corpsdetexte"/>
                              <w:contextualSpacing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D24ABC">
                              <w:rPr>
                                <w:b/>
                                <w:iCs w:val="0"/>
                              </w:rPr>
                              <w:t>D</w:t>
                            </w:r>
                            <w:r w:rsidR="00456E91" w:rsidRPr="00D24ABC">
                              <w:rPr>
                                <w:b/>
                                <w:iCs w:val="0"/>
                              </w:rPr>
                              <w:t>u</w:t>
                            </w:r>
                            <w:r>
                              <w:rPr>
                                <w:b/>
                                <w:iCs w:val="0"/>
                              </w:rPr>
                              <w:t xml:space="preserve"> </w:t>
                            </w:r>
                            <w:r w:rsidR="00383F9C">
                              <w:rPr>
                                <w:b/>
                                <w:iCs w:val="0"/>
                              </w:rPr>
                              <w:t>22</w:t>
                            </w:r>
                            <w:r w:rsidR="00C320F4" w:rsidRPr="00D24ABC">
                              <w:rPr>
                                <w:b/>
                                <w:iCs w:val="0"/>
                              </w:rPr>
                              <w:t>/</w:t>
                            </w:r>
                            <w:r w:rsidR="00383F9C">
                              <w:rPr>
                                <w:b/>
                                <w:iCs w:val="0"/>
                              </w:rPr>
                              <w:t>04</w:t>
                            </w:r>
                            <w:r w:rsidR="00C320F4" w:rsidRPr="00D24ABC">
                              <w:rPr>
                                <w:b/>
                                <w:iCs w:val="0"/>
                              </w:rPr>
                              <w:t>/202</w:t>
                            </w:r>
                            <w:r w:rsidR="00B10D07">
                              <w:rPr>
                                <w:b/>
                                <w:iCs w:val="0"/>
                              </w:rPr>
                              <w:t>1</w:t>
                            </w:r>
                          </w:p>
                          <w:p w14:paraId="3E623C61" w14:textId="77777777" w:rsidR="00CC4B3F" w:rsidRDefault="00CC4B3F" w:rsidP="00E83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4C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3.55pt;width:378pt;height:14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" stroked="f">
                <v:textbox>
                  <w:txbxContent>
                    <w:p w14:paraId="70074973" w14:textId="14D3DDFF" w:rsidR="0077736B" w:rsidRPr="0077736B" w:rsidRDefault="00CC4B3F" w:rsidP="0077736B">
                      <w:pPr>
                        <w:pStyle w:val="Corpsdetexte"/>
                        <w:contextualSpacing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Compte rendu de la </w:t>
                      </w:r>
                      <w:r w:rsidR="00B0063A">
                        <w:rPr>
                          <w:b/>
                          <w:bCs/>
                        </w:rPr>
                        <w:t>réunion</w:t>
                      </w:r>
                      <w:r w:rsidR="00835CF6">
                        <w:rPr>
                          <w:b/>
                          <w:bCs/>
                        </w:rPr>
                        <w:t xml:space="preserve"> </w:t>
                      </w:r>
                      <w:r w:rsidR="000E3FEA">
                        <w:rPr>
                          <w:b/>
                          <w:bCs/>
                        </w:rPr>
                        <w:t xml:space="preserve">de la Commission Paritaire </w:t>
                      </w:r>
                      <w:r w:rsidR="0077736B">
                        <w:rPr>
                          <w:b/>
                          <w:bCs/>
                        </w:rPr>
                        <w:t xml:space="preserve">Permanente de négociation et d’interprétation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 w:rsidR="0040186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REMONTEES ME</w:t>
                      </w:r>
                      <w:r w:rsidR="00E8358E">
                        <w:rPr>
                          <w:b/>
                          <w:bCs/>
                          <w:sz w:val="36"/>
                        </w:rPr>
                        <w:t>CANIQUES et DOMAINES SKIABLES</w:t>
                      </w:r>
                    </w:p>
                    <w:p w14:paraId="6299B92F" w14:textId="1F610F8D" w:rsidR="00CC4B3F" w:rsidRPr="00D24ABC" w:rsidRDefault="00401861" w:rsidP="0077736B">
                      <w:pPr>
                        <w:pStyle w:val="Corpsdetexte"/>
                        <w:contextualSpacing/>
                        <w:rPr>
                          <w:b/>
                          <w:bCs/>
                          <w:sz w:val="36"/>
                        </w:rPr>
                      </w:pPr>
                      <w:r w:rsidRPr="00D24ABC">
                        <w:rPr>
                          <w:b/>
                          <w:iCs w:val="0"/>
                        </w:rPr>
                        <w:t>D</w:t>
                      </w:r>
                      <w:r w:rsidR="00456E91" w:rsidRPr="00D24ABC">
                        <w:rPr>
                          <w:b/>
                          <w:iCs w:val="0"/>
                        </w:rPr>
                        <w:t>u</w:t>
                      </w:r>
                      <w:r>
                        <w:rPr>
                          <w:b/>
                          <w:iCs w:val="0"/>
                        </w:rPr>
                        <w:t xml:space="preserve"> </w:t>
                      </w:r>
                      <w:r w:rsidR="00383F9C">
                        <w:rPr>
                          <w:b/>
                          <w:iCs w:val="0"/>
                        </w:rPr>
                        <w:t>22</w:t>
                      </w:r>
                      <w:r w:rsidR="00C320F4" w:rsidRPr="00D24ABC">
                        <w:rPr>
                          <w:b/>
                          <w:iCs w:val="0"/>
                        </w:rPr>
                        <w:t>/</w:t>
                      </w:r>
                      <w:r w:rsidR="00383F9C">
                        <w:rPr>
                          <w:b/>
                          <w:iCs w:val="0"/>
                        </w:rPr>
                        <w:t>04</w:t>
                      </w:r>
                      <w:r w:rsidR="00C320F4" w:rsidRPr="00D24ABC">
                        <w:rPr>
                          <w:b/>
                          <w:iCs w:val="0"/>
                        </w:rPr>
                        <w:t>/202</w:t>
                      </w:r>
                      <w:r w:rsidR="00B10D07">
                        <w:rPr>
                          <w:b/>
                          <w:iCs w:val="0"/>
                        </w:rPr>
                        <w:t>1</w:t>
                      </w:r>
                    </w:p>
                    <w:p w14:paraId="3E623C61" w14:textId="77777777" w:rsidR="00CC4B3F" w:rsidRDefault="00CC4B3F" w:rsidP="00E8358E"/>
                  </w:txbxContent>
                </v:textbox>
              </v:shape>
            </w:pict>
          </mc:Fallback>
        </mc:AlternateContent>
      </w:r>
      <w:r w:rsidR="00EF0904">
        <w:rPr>
          <w:b/>
          <w:bCs/>
          <w:noProof/>
        </w:rPr>
        <w:drawing>
          <wp:inline distT="0" distB="0" distL="0" distR="0" wp14:anchorId="36B0C082" wp14:editId="35D60EEC">
            <wp:extent cx="1943100" cy="1905000"/>
            <wp:effectExtent l="19050" t="0" r="0" b="0"/>
            <wp:docPr id="1" name="Image 1" descr="log FO RM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FO RM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4F58F" w14:textId="77777777" w:rsidR="00375E4B" w:rsidRPr="005711EA" w:rsidRDefault="00375E4B" w:rsidP="00864625">
      <w:pPr>
        <w:contextualSpacing/>
        <w:rPr>
          <w:rFonts w:ascii="Times New Roman" w:hAnsi="Times New Roman"/>
          <w:b/>
          <w:bCs/>
          <w:i w:val="0"/>
          <w:color w:val="auto"/>
        </w:rPr>
      </w:pPr>
    </w:p>
    <w:p w14:paraId="139D6351" w14:textId="1EF84240" w:rsidR="00613D9B" w:rsidRPr="005711EA" w:rsidRDefault="00E85D64" w:rsidP="00864625">
      <w:pPr>
        <w:contextualSpacing/>
        <w:rPr>
          <w:rFonts w:ascii="Times New Roman" w:hAnsi="Times New Roman"/>
          <w:b/>
          <w:bCs/>
          <w:i w:val="0"/>
          <w:color w:val="auto"/>
        </w:rPr>
      </w:pPr>
      <w:r w:rsidRPr="005711EA">
        <w:rPr>
          <w:rFonts w:ascii="Times New Roman" w:hAnsi="Times New Roman"/>
          <w:b/>
          <w:bCs/>
          <w:i w:val="0"/>
          <w:color w:val="auto"/>
        </w:rPr>
        <w:t xml:space="preserve">Présents à la réunion </w:t>
      </w:r>
      <w:r w:rsidR="00732939" w:rsidRPr="005711EA">
        <w:rPr>
          <w:rFonts w:ascii="Times New Roman" w:hAnsi="Times New Roman"/>
          <w:b/>
          <w:bCs/>
          <w:i w:val="0"/>
          <w:color w:val="auto"/>
        </w:rPr>
        <w:t xml:space="preserve">en </w:t>
      </w:r>
      <w:proofErr w:type="spellStart"/>
      <w:r w:rsidR="00732939" w:rsidRPr="005711EA">
        <w:rPr>
          <w:rFonts w:ascii="Times New Roman" w:hAnsi="Times New Roman"/>
          <w:b/>
          <w:bCs/>
          <w:i w:val="0"/>
          <w:color w:val="auto"/>
        </w:rPr>
        <w:t>visio</w:t>
      </w:r>
      <w:proofErr w:type="spellEnd"/>
      <w:r w:rsidR="00835CF6">
        <w:rPr>
          <w:rFonts w:ascii="Times New Roman" w:hAnsi="Times New Roman"/>
          <w:b/>
          <w:bCs/>
          <w:i w:val="0"/>
          <w:color w:val="auto"/>
        </w:rPr>
        <w:t xml:space="preserve"> </w:t>
      </w:r>
      <w:r w:rsidRPr="005711EA">
        <w:rPr>
          <w:rFonts w:ascii="Times New Roman" w:hAnsi="Times New Roman"/>
          <w:b/>
          <w:bCs/>
          <w:i w:val="0"/>
          <w:color w:val="auto"/>
        </w:rPr>
        <w:t xml:space="preserve">pour la délégation FO : </w:t>
      </w:r>
      <w:r w:rsidR="008C4075" w:rsidRPr="005711EA">
        <w:rPr>
          <w:rFonts w:ascii="Times New Roman" w:hAnsi="Times New Roman"/>
          <w:b/>
          <w:bCs/>
          <w:i w:val="0"/>
          <w:color w:val="auto"/>
        </w:rPr>
        <w:t xml:space="preserve">Piou MARINI, </w:t>
      </w:r>
      <w:proofErr w:type="spellStart"/>
      <w:r w:rsidRPr="005711EA">
        <w:rPr>
          <w:rFonts w:ascii="Times New Roman" w:hAnsi="Times New Roman"/>
          <w:b/>
          <w:bCs/>
          <w:i w:val="0"/>
          <w:color w:val="auto"/>
        </w:rPr>
        <w:t>Eric</w:t>
      </w:r>
      <w:proofErr w:type="spellEnd"/>
      <w:r w:rsidRPr="005711EA">
        <w:rPr>
          <w:rFonts w:ascii="Times New Roman" w:hAnsi="Times New Roman"/>
          <w:b/>
          <w:bCs/>
          <w:i w:val="0"/>
          <w:color w:val="auto"/>
        </w:rPr>
        <w:t xml:space="preserve"> BECKER, Alain MATHIEU</w:t>
      </w:r>
      <w:r w:rsidR="00904FC0" w:rsidRPr="005711EA">
        <w:rPr>
          <w:rFonts w:ascii="Times New Roman" w:hAnsi="Times New Roman"/>
          <w:b/>
          <w:bCs/>
          <w:i w:val="0"/>
          <w:color w:val="auto"/>
        </w:rPr>
        <w:t xml:space="preserve">, </w:t>
      </w:r>
      <w:r w:rsidR="00C320F4" w:rsidRPr="005711EA">
        <w:rPr>
          <w:rFonts w:ascii="Times New Roman" w:hAnsi="Times New Roman"/>
          <w:b/>
          <w:bCs/>
          <w:i w:val="0"/>
          <w:color w:val="auto"/>
        </w:rPr>
        <w:t>David LE GUEN</w:t>
      </w:r>
      <w:r w:rsidR="00732939" w:rsidRPr="005711EA">
        <w:rPr>
          <w:rFonts w:ascii="Times New Roman" w:hAnsi="Times New Roman"/>
          <w:b/>
          <w:bCs/>
          <w:i w:val="0"/>
          <w:color w:val="auto"/>
        </w:rPr>
        <w:t>,</w:t>
      </w:r>
      <w:r w:rsidR="00401861">
        <w:rPr>
          <w:rFonts w:ascii="Times New Roman" w:hAnsi="Times New Roman"/>
          <w:b/>
          <w:bCs/>
          <w:i w:val="0"/>
          <w:color w:val="auto"/>
        </w:rPr>
        <w:t xml:space="preserve"> </w:t>
      </w:r>
      <w:r w:rsidR="00CD7948" w:rsidRPr="005711EA">
        <w:rPr>
          <w:rFonts w:ascii="Times New Roman" w:hAnsi="Times New Roman"/>
          <w:b/>
          <w:bCs/>
          <w:i w:val="0"/>
          <w:color w:val="auto"/>
        </w:rPr>
        <w:t>Pierre FOLCHER</w:t>
      </w:r>
      <w:r w:rsidR="00EC64F6" w:rsidRPr="005711EA">
        <w:rPr>
          <w:rFonts w:ascii="Times New Roman" w:hAnsi="Times New Roman"/>
          <w:b/>
          <w:bCs/>
          <w:i w:val="0"/>
          <w:color w:val="auto"/>
        </w:rPr>
        <w:t>.</w:t>
      </w:r>
    </w:p>
    <w:p w14:paraId="17F7D147" w14:textId="77777777" w:rsidR="00864625" w:rsidRPr="005711EA" w:rsidRDefault="00864625" w:rsidP="00864625">
      <w:pPr>
        <w:contextualSpacing/>
        <w:rPr>
          <w:rFonts w:ascii="Times New Roman" w:hAnsi="Times New Roman"/>
          <w:b/>
          <w:bCs/>
          <w:i w:val="0"/>
          <w:color w:val="auto"/>
          <w:sz w:val="16"/>
          <w:szCs w:val="16"/>
        </w:rPr>
      </w:pPr>
    </w:p>
    <w:p w14:paraId="192442C6" w14:textId="77777777" w:rsidR="00B10D07" w:rsidRPr="005711EA" w:rsidRDefault="00B10D07" w:rsidP="00864625">
      <w:pPr>
        <w:contextualSpacing/>
        <w:rPr>
          <w:rFonts w:ascii="Times New Roman" w:hAnsi="Times New Roman"/>
          <w:b/>
          <w:bCs/>
          <w:i w:val="0"/>
          <w:color w:val="auto"/>
        </w:rPr>
      </w:pPr>
    </w:p>
    <w:p w14:paraId="1F225F54" w14:textId="77777777" w:rsidR="005711EA" w:rsidRDefault="005711EA" w:rsidP="00B10D07">
      <w:pPr>
        <w:contextualSpacing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</w:p>
    <w:p w14:paraId="04AFD23E" w14:textId="77777777" w:rsidR="00B10D07" w:rsidRPr="005711EA" w:rsidRDefault="00E85B1B" w:rsidP="00B10D07">
      <w:pPr>
        <w:contextualSpacing/>
        <w:rPr>
          <w:rFonts w:ascii="Times New Roman" w:hAnsi="Times New Roman"/>
          <w:i w:val="0"/>
          <w:color w:val="auto"/>
          <w:sz w:val="28"/>
          <w:szCs w:val="28"/>
        </w:rPr>
      </w:pPr>
      <w:r w:rsidRPr="005711EA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A l’ordre du jour</w:t>
      </w:r>
      <w:r w:rsidR="00B10D07" w:rsidRPr="005711EA">
        <w:rPr>
          <w:rFonts w:ascii="Times New Roman" w:hAnsi="Times New Roman"/>
          <w:i w:val="0"/>
          <w:color w:val="auto"/>
          <w:sz w:val="28"/>
          <w:szCs w:val="28"/>
        </w:rPr>
        <w:t> :</w:t>
      </w:r>
    </w:p>
    <w:p w14:paraId="682134E4" w14:textId="43E02E6B" w:rsidR="00213719" w:rsidRPr="00383F9C" w:rsidRDefault="00383F9C" w:rsidP="00FB61BA">
      <w:pPr>
        <w:pStyle w:val="Paragraphedeliste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F9C">
        <w:rPr>
          <w:rFonts w:ascii="Times New Roman" w:hAnsi="Times New Roman" w:cs="Times New Roman"/>
          <w:b/>
          <w:iCs/>
          <w:sz w:val="28"/>
          <w:szCs w:val="28"/>
        </w:rPr>
        <w:t xml:space="preserve">Les </w:t>
      </w:r>
      <w:proofErr w:type="spellStart"/>
      <w:r w:rsidRPr="00383F9C">
        <w:rPr>
          <w:rFonts w:ascii="Times New Roman" w:hAnsi="Times New Roman" w:cs="Times New Roman"/>
          <w:b/>
          <w:iCs/>
          <w:sz w:val="28"/>
          <w:szCs w:val="28"/>
        </w:rPr>
        <w:t>négociations</w:t>
      </w:r>
      <w:proofErr w:type="spellEnd"/>
      <w:r w:rsidR="004018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83F9C">
        <w:rPr>
          <w:rFonts w:ascii="Times New Roman" w:hAnsi="Times New Roman" w:cs="Times New Roman"/>
          <w:b/>
          <w:iCs/>
          <w:sz w:val="28"/>
          <w:szCs w:val="28"/>
        </w:rPr>
        <w:t>salariales</w:t>
      </w:r>
      <w:proofErr w:type="spellEnd"/>
    </w:p>
    <w:p w14:paraId="5CF6FAA6" w14:textId="5E574256" w:rsidR="00383F9C" w:rsidRDefault="00383F9C" w:rsidP="00FB61BA">
      <w:pPr>
        <w:pStyle w:val="Paragraphedeliste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83F9C">
        <w:rPr>
          <w:rFonts w:ascii="Times New Roman" w:hAnsi="Times New Roman" w:cs="Times New Roman"/>
          <w:b/>
          <w:sz w:val="28"/>
          <w:szCs w:val="28"/>
        </w:rPr>
        <w:t xml:space="preserve">Un accord </w:t>
      </w:r>
      <w:proofErr w:type="spellStart"/>
      <w:r w:rsidRPr="00383F9C">
        <w:rPr>
          <w:rFonts w:ascii="Times New Roman" w:hAnsi="Times New Roman" w:cs="Times New Roman"/>
          <w:b/>
          <w:sz w:val="28"/>
          <w:szCs w:val="28"/>
        </w:rPr>
        <w:t>portant</w:t>
      </w:r>
      <w:proofErr w:type="spellEnd"/>
      <w:r w:rsidRPr="00383F9C">
        <w:rPr>
          <w:rFonts w:ascii="Times New Roman" w:hAnsi="Times New Roman" w:cs="Times New Roman"/>
          <w:b/>
          <w:sz w:val="28"/>
          <w:szCs w:val="28"/>
        </w:rPr>
        <w:t xml:space="preserve"> sur </w:t>
      </w:r>
      <w:proofErr w:type="spellStart"/>
      <w:r w:rsidRPr="00383F9C">
        <w:rPr>
          <w:rFonts w:ascii="Times New Roman" w:hAnsi="Times New Roman" w:cs="Times New Roman"/>
          <w:b/>
          <w:sz w:val="28"/>
          <w:szCs w:val="28"/>
        </w:rPr>
        <w:t>l’activité</w:t>
      </w:r>
      <w:proofErr w:type="spellEnd"/>
      <w:r w:rsidR="00401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F9C">
        <w:rPr>
          <w:rFonts w:ascii="Times New Roman" w:hAnsi="Times New Roman" w:cs="Times New Roman"/>
          <w:b/>
          <w:sz w:val="28"/>
          <w:szCs w:val="28"/>
        </w:rPr>
        <w:t>partielle</w:t>
      </w:r>
      <w:proofErr w:type="spellEnd"/>
      <w:r w:rsidRPr="00383F9C">
        <w:rPr>
          <w:rFonts w:ascii="Times New Roman" w:hAnsi="Times New Roman" w:cs="Times New Roman"/>
          <w:b/>
          <w:sz w:val="28"/>
          <w:szCs w:val="28"/>
        </w:rPr>
        <w:t xml:space="preserve"> longue durée (APLD)</w:t>
      </w:r>
    </w:p>
    <w:p w14:paraId="09FA9AC2" w14:textId="77777777" w:rsidR="006B3230" w:rsidRPr="00383F9C" w:rsidRDefault="006B3230" w:rsidP="00FB61BA">
      <w:pPr>
        <w:pStyle w:val="Paragraphedeliste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Questions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diverses</w:t>
      </w:r>
      <w:proofErr w:type="spellEnd"/>
    </w:p>
    <w:p w14:paraId="6E0FBFE4" w14:textId="77777777" w:rsidR="00B10D07" w:rsidRPr="005711EA" w:rsidRDefault="00B10D07" w:rsidP="00B10D07">
      <w:pPr>
        <w:spacing w:before="5" w:line="212" w:lineRule="exact"/>
        <w:rPr>
          <w:rFonts w:ascii="Times New Roman" w:hAnsi="Times New Roman"/>
          <w:i w:val="0"/>
          <w:iCs/>
          <w:color w:val="auto"/>
        </w:rPr>
      </w:pPr>
    </w:p>
    <w:p w14:paraId="6D418F9A" w14:textId="77777777" w:rsidR="00106BC7" w:rsidRPr="00106BC7" w:rsidRDefault="00106BC7" w:rsidP="00106BC7">
      <w:pPr>
        <w:contextualSpacing/>
        <w:rPr>
          <w:rFonts w:ascii="Times New Roman" w:hAnsi="Times New Roman"/>
          <w:b/>
          <w:bCs/>
          <w:i w:val="0"/>
          <w:color w:val="0000FF"/>
          <w:sz w:val="26"/>
          <w:szCs w:val="26"/>
          <w:u w:val="single"/>
        </w:rPr>
      </w:pPr>
      <w:bookmarkStart w:id="0" w:name="_Hlk70000662"/>
      <w:r w:rsidRPr="00106BC7">
        <w:rPr>
          <w:rFonts w:ascii="Times New Roman" w:hAnsi="Times New Roman"/>
          <w:b/>
          <w:bCs/>
          <w:i w:val="0"/>
          <w:color w:val="0000FF"/>
          <w:sz w:val="26"/>
          <w:szCs w:val="26"/>
          <w:u w:val="single"/>
        </w:rPr>
        <w:t>Les négociations salariales</w:t>
      </w:r>
      <w:r w:rsidRPr="00106BC7">
        <w:rPr>
          <w:rFonts w:ascii="Times New Roman" w:hAnsi="Times New Roman"/>
          <w:b/>
          <w:bCs/>
          <w:i w:val="0"/>
          <w:color w:val="0000FF"/>
          <w:sz w:val="26"/>
          <w:szCs w:val="26"/>
        </w:rPr>
        <w:t> </w:t>
      </w:r>
      <w:bookmarkEnd w:id="0"/>
      <w:r w:rsidRPr="00106BC7">
        <w:rPr>
          <w:rFonts w:ascii="Times New Roman" w:hAnsi="Times New Roman"/>
          <w:b/>
          <w:bCs/>
          <w:i w:val="0"/>
          <w:color w:val="0000FF"/>
          <w:sz w:val="26"/>
          <w:szCs w:val="26"/>
        </w:rPr>
        <w:t>:</w:t>
      </w:r>
    </w:p>
    <w:p w14:paraId="072EF7DE" w14:textId="77777777" w:rsidR="00106BC7" w:rsidRPr="005711EA" w:rsidRDefault="00106BC7" w:rsidP="00106BC7">
      <w:pPr>
        <w:contextualSpacing/>
        <w:rPr>
          <w:rFonts w:ascii="Times New Roman" w:hAnsi="Times New Roman"/>
          <w:b/>
          <w:bCs/>
          <w:i w:val="0"/>
          <w:color w:val="auto"/>
        </w:rPr>
      </w:pPr>
    </w:p>
    <w:p w14:paraId="2FE7A8EF" w14:textId="118AB3AA" w:rsidR="00ED6014" w:rsidRPr="00ED6014" w:rsidRDefault="008B37A9" w:rsidP="00ED6014">
      <w:pPr>
        <w:contextualSpacing/>
        <w:rPr>
          <w:rFonts w:ascii="Times New Roman" w:hAnsi="Times New Roman"/>
          <w:bCs/>
          <w:i w:val="0"/>
          <w:iCs/>
          <w:color w:val="auto"/>
        </w:rPr>
      </w:pPr>
      <w:bookmarkStart w:id="1" w:name="_Hlk70000696"/>
      <w:r>
        <w:rPr>
          <w:rFonts w:ascii="Times New Roman" w:hAnsi="Times New Roman"/>
          <w:bCs/>
          <w:i w:val="0"/>
          <w:iCs/>
          <w:color w:val="auto"/>
        </w:rPr>
        <w:t xml:space="preserve">La délégation FO </w:t>
      </w:r>
      <w:r w:rsidR="00401861">
        <w:rPr>
          <w:rFonts w:ascii="Times New Roman" w:hAnsi="Times New Roman"/>
          <w:bCs/>
          <w:i w:val="0"/>
          <w:iCs/>
          <w:color w:val="auto"/>
        </w:rPr>
        <w:t xml:space="preserve">réclame </w:t>
      </w:r>
      <w:r w:rsidR="00401861" w:rsidRPr="00ED6014">
        <w:rPr>
          <w:rFonts w:ascii="Times New Roman" w:hAnsi="Times New Roman"/>
          <w:bCs/>
          <w:i w:val="0"/>
          <w:iCs/>
          <w:color w:val="auto"/>
        </w:rPr>
        <w:t>une</w:t>
      </w:r>
      <w:r w:rsidR="00ED6014" w:rsidRPr="00ED6014">
        <w:rPr>
          <w:rFonts w:ascii="Times New Roman" w:hAnsi="Times New Roman"/>
          <w:bCs/>
          <w:i w:val="0"/>
          <w:iCs/>
          <w:color w:val="auto"/>
        </w:rPr>
        <w:t xml:space="preserve"> augmentation de 1% en linéaire de l’indice 200 à 230.</w:t>
      </w:r>
    </w:p>
    <w:p w14:paraId="6548B5E2" w14:textId="77777777" w:rsidR="008B37A9" w:rsidRDefault="00ED6014" w:rsidP="00ED6014">
      <w:pPr>
        <w:contextualSpacing/>
        <w:rPr>
          <w:rFonts w:ascii="Times New Roman" w:hAnsi="Times New Roman"/>
          <w:bCs/>
          <w:i w:val="0"/>
          <w:iCs/>
          <w:color w:val="auto"/>
        </w:rPr>
      </w:pPr>
      <w:r w:rsidRPr="00ED6014">
        <w:rPr>
          <w:rFonts w:ascii="Times New Roman" w:hAnsi="Times New Roman"/>
          <w:bCs/>
          <w:i w:val="0"/>
          <w:iCs/>
          <w:color w:val="auto"/>
        </w:rPr>
        <w:t xml:space="preserve">Malgré </w:t>
      </w:r>
      <w:r>
        <w:rPr>
          <w:rFonts w:ascii="Times New Roman" w:hAnsi="Times New Roman"/>
          <w:bCs/>
          <w:i w:val="0"/>
          <w:iCs/>
          <w:color w:val="auto"/>
        </w:rPr>
        <w:t xml:space="preserve">la demande de l’automne dernier, </w:t>
      </w:r>
      <w:r w:rsidRPr="00ED6014">
        <w:rPr>
          <w:rFonts w:ascii="Times New Roman" w:hAnsi="Times New Roman"/>
          <w:bCs/>
          <w:i w:val="0"/>
          <w:iCs/>
          <w:color w:val="auto"/>
        </w:rPr>
        <w:t xml:space="preserve">notre intervention en janvier pour dénoncer le passage de l’indice 200 en dessous du SMIC et la circulaire de DSF </w:t>
      </w:r>
      <w:r w:rsidR="00985DEF">
        <w:rPr>
          <w:rFonts w:ascii="Times New Roman" w:hAnsi="Times New Roman"/>
          <w:bCs/>
          <w:i w:val="0"/>
          <w:iCs/>
          <w:color w:val="auto"/>
        </w:rPr>
        <w:t>auprès de s</w:t>
      </w:r>
      <w:r>
        <w:rPr>
          <w:rFonts w:ascii="Times New Roman" w:hAnsi="Times New Roman"/>
          <w:bCs/>
          <w:i w:val="0"/>
          <w:iCs/>
          <w:color w:val="auto"/>
        </w:rPr>
        <w:t xml:space="preserve">es adhérents </w:t>
      </w:r>
      <w:r w:rsidRPr="00ED6014">
        <w:rPr>
          <w:rFonts w:ascii="Times New Roman" w:hAnsi="Times New Roman"/>
          <w:bCs/>
          <w:i w:val="0"/>
          <w:iCs/>
          <w:color w:val="auto"/>
        </w:rPr>
        <w:t xml:space="preserve">pour augmenter uniquement </w:t>
      </w:r>
      <w:r w:rsidR="00985DEF">
        <w:rPr>
          <w:rFonts w:ascii="Times New Roman" w:hAnsi="Times New Roman"/>
          <w:bCs/>
          <w:i w:val="0"/>
          <w:iCs/>
          <w:color w:val="auto"/>
        </w:rPr>
        <w:t>les indices 200 et 201 de 0,99%</w:t>
      </w:r>
      <w:r w:rsidR="008B37A9">
        <w:rPr>
          <w:rFonts w:ascii="Times New Roman" w:hAnsi="Times New Roman"/>
          <w:bCs/>
          <w:i w:val="0"/>
          <w:iCs/>
          <w:color w:val="auto"/>
        </w:rPr>
        <w:t>, il semble que certaines entreprises n’aient pas adapté leurs grilles</w:t>
      </w:r>
      <w:r w:rsidR="00985DEF">
        <w:rPr>
          <w:rFonts w:ascii="Times New Roman" w:hAnsi="Times New Roman"/>
          <w:bCs/>
          <w:i w:val="0"/>
          <w:iCs/>
          <w:color w:val="auto"/>
        </w:rPr>
        <w:t>.</w:t>
      </w:r>
      <w:r w:rsidRPr="00ED6014">
        <w:rPr>
          <w:rFonts w:ascii="Times New Roman" w:hAnsi="Times New Roman"/>
          <w:bCs/>
          <w:i w:val="0"/>
          <w:iCs/>
          <w:color w:val="auto"/>
        </w:rPr>
        <w:t xml:space="preserve"> </w:t>
      </w:r>
    </w:p>
    <w:p w14:paraId="31768FDF" w14:textId="5D4756A5" w:rsidR="00ED6014" w:rsidRDefault="00985DEF" w:rsidP="00ED6014">
      <w:pPr>
        <w:contextualSpacing/>
        <w:rPr>
          <w:rFonts w:ascii="Times New Roman" w:hAnsi="Times New Roman"/>
          <w:bCs/>
          <w:i w:val="0"/>
          <w:iCs/>
          <w:color w:val="auto"/>
        </w:rPr>
      </w:pPr>
      <w:r>
        <w:rPr>
          <w:rFonts w:ascii="Times New Roman" w:hAnsi="Times New Roman"/>
          <w:bCs/>
          <w:i w:val="0"/>
          <w:iCs/>
          <w:color w:val="auto"/>
        </w:rPr>
        <w:t xml:space="preserve">Au </w:t>
      </w:r>
      <w:r w:rsidR="00ED6014">
        <w:rPr>
          <w:rFonts w:ascii="Times New Roman" w:hAnsi="Times New Roman"/>
          <w:bCs/>
          <w:i w:val="0"/>
          <w:iCs/>
          <w:color w:val="auto"/>
        </w:rPr>
        <w:t>vu de l’augmentation des prix et du coût de la vie</w:t>
      </w:r>
      <w:r w:rsidRPr="00985DEF">
        <w:rPr>
          <w:rFonts w:ascii="Times New Roman" w:hAnsi="Times New Roman"/>
          <w:bCs/>
          <w:i w:val="0"/>
          <w:iCs/>
          <w:color w:val="auto"/>
        </w:rPr>
        <w:t xml:space="preserve"> </w:t>
      </w:r>
      <w:r w:rsidR="00835CF6">
        <w:rPr>
          <w:rFonts w:ascii="Times New Roman" w:hAnsi="Times New Roman"/>
          <w:bCs/>
          <w:i w:val="0"/>
          <w:iCs/>
          <w:color w:val="auto"/>
        </w:rPr>
        <w:t>à la suite de</w:t>
      </w:r>
      <w:r>
        <w:rPr>
          <w:rFonts w:ascii="Times New Roman" w:hAnsi="Times New Roman"/>
          <w:bCs/>
          <w:i w:val="0"/>
          <w:iCs/>
          <w:color w:val="auto"/>
        </w:rPr>
        <w:t xml:space="preserve"> cette crise sanitaire, nous estimons qu’un petit coup de pouce pour les salariés qui </w:t>
      </w:r>
      <w:r w:rsidR="00401861">
        <w:rPr>
          <w:rFonts w:ascii="Times New Roman" w:hAnsi="Times New Roman"/>
          <w:bCs/>
          <w:i w:val="0"/>
          <w:iCs/>
          <w:color w:val="auto"/>
        </w:rPr>
        <w:t>ont, eux</w:t>
      </w:r>
      <w:r>
        <w:rPr>
          <w:rFonts w:ascii="Times New Roman" w:hAnsi="Times New Roman"/>
          <w:bCs/>
          <w:i w:val="0"/>
          <w:iCs/>
          <w:color w:val="auto"/>
        </w:rPr>
        <w:t xml:space="preserve"> aussi, fortement subis cette crise serait logique</w:t>
      </w:r>
      <w:r w:rsidR="00ED6014">
        <w:rPr>
          <w:rFonts w:ascii="Times New Roman" w:hAnsi="Times New Roman"/>
          <w:bCs/>
          <w:i w:val="0"/>
          <w:iCs/>
          <w:color w:val="auto"/>
        </w:rPr>
        <w:t xml:space="preserve"> </w:t>
      </w:r>
      <w:r>
        <w:rPr>
          <w:rFonts w:ascii="Times New Roman" w:hAnsi="Times New Roman"/>
          <w:bCs/>
          <w:i w:val="0"/>
          <w:iCs/>
          <w:color w:val="auto"/>
        </w:rPr>
        <w:t>compte tenu</w:t>
      </w:r>
      <w:r w:rsidR="00ED6014">
        <w:rPr>
          <w:rFonts w:ascii="Times New Roman" w:hAnsi="Times New Roman"/>
          <w:bCs/>
          <w:i w:val="0"/>
          <w:iCs/>
          <w:color w:val="auto"/>
        </w:rPr>
        <w:t xml:space="preserve"> des aides et indemnités </w:t>
      </w:r>
      <w:r>
        <w:rPr>
          <w:rFonts w:ascii="Times New Roman" w:hAnsi="Times New Roman"/>
          <w:bCs/>
          <w:i w:val="0"/>
          <w:iCs/>
          <w:color w:val="auto"/>
        </w:rPr>
        <w:t xml:space="preserve">versées aux </w:t>
      </w:r>
      <w:r w:rsidR="00ED6014">
        <w:rPr>
          <w:rFonts w:ascii="Times New Roman" w:hAnsi="Times New Roman"/>
          <w:bCs/>
          <w:i w:val="0"/>
          <w:iCs/>
          <w:color w:val="auto"/>
        </w:rPr>
        <w:t>entreprises des remontées mécaniques</w:t>
      </w:r>
      <w:r w:rsidR="00401861">
        <w:rPr>
          <w:rFonts w:ascii="Times New Roman" w:hAnsi="Times New Roman"/>
          <w:bCs/>
          <w:i w:val="0"/>
          <w:iCs/>
          <w:color w:val="auto"/>
        </w:rPr>
        <w:t>.</w:t>
      </w:r>
    </w:p>
    <w:p w14:paraId="2C7A1FA7" w14:textId="77777777" w:rsidR="00ED6014" w:rsidRDefault="00ED6014" w:rsidP="00ED6014">
      <w:pPr>
        <w:contextualSpacing/>
        <w:rPr>
          <w:rFonts w:ascii="Times New Roman" w:hAnsi="Times New Roman"/>
          <w:bCs/>
          <w:i w:val="0"/>
          <w:iCs/>
          <w:color w:val="auto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753"/>
        <w:gridCol w:w="1200"/>
        <w:gridCol w:w="1200"/>
        <w:gridCol w:w="380"/>
        <w:gridCol w:w="1200"/>
        <w:gridCol w:w="1200"/>
        <w:gridCol w:w="1200"/>
      </w:tblGrid>
      <w:tr w:rsidR="00ED6014" w:rsidRPr="00ED6014" w14:paraId="199BE3D4" w14:textId="77777777" w:rsidTr="00ED6014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1A3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Calibri" w:hAnsi="Calibri" w:cs="Calibri"/>
                <w:i w:val="0"/>
                <w:color w:val="CC0066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CC0066"/>
                <w:sz w:val="22"/>
                <w:szCs w:val="22"/>
              </w:rPr>
              <w:t>INDICE GRILLE DSF 20/21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E5B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 w:val="0"/>
                <w:color w:val="7030A0"/>
                <w:sz w:val="22"/>
                <w:szCs w:val="22"/>
              </w:rPr>
            </w:pPr>
            <w:proofErr w:type="gramStart"/>
            <w:r w:rsidRPr="00ED6014">
              <w:rPr>
                <w:rFonts w:ascii="Calibri" w:hAnsi="Calibri" w:cs="Calibri"/>
                <w:b/>
                <w:bCs/>
                <w:i w:val="0"/>
                <w:color w:val="7030A0"/>
                <w:sz w:val="22"/>
                <w:szCs w:val="22"/>
              </w:rPr>
              <w:t>x</w:t>
            </w:r>
            <w:proofErr w:type="gramEnd"/>
            <w:r w:rsidRPr="00ED6014">
              <w:rPr>
                <w:rFonts w:ascii="Calibri" w:hAnsi="Calibri" w:cs="Calibri"/>
                <w:b/>
                <w:bCs/>
                <w:i w:val="0"/>
                <w:color w:val="7030A0"/>
                <w:sz w:val="22"/>
                <w:szCs w:val="22"/>
              </w:rPr>
              <w:t xml:space="preserve"> 0,99 %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15D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 w:val="0"/>
                <w:color w:val="00B050"/>
                <w:sz w:val="22"/>
                <w:szCs w:val="22"/>
              </w:rPr>
            </w:pPr>
            <w:proofErr w:type="gramStart"/>
            <w:r w:rsidRPr="00ED6014">
              <w:rPr>
                <w:rFonts w:ascii="Calibri" w:hAnsi="Calibri" w:cs="Calibri"/>
                <w:b/>
                <w:bCs/>
                <w:i w:val="0"/>
                <w:color w:val="00B050"/>
                <w:sz w:val="22"/>
                <w:szCs w:val="22"/>
              </w:rPr>
              <w:t>x</w:t>
            </w:r>
            <w:proofErr w:type="gramEnd"/>
            <w:r w:rsidRPr="00ED6014">
              <w:rPr>
                <w:rFonts w:ascii="Calibri" w:hAnsi="Calibri" w:cs="Calibri"/>
                <w:b/>
                <w:bCs/>
                <w:i w:val="0"/>
                <w:color w:val="00B050"/>
                <w:sz w:val="22"/>
                <w:szCs w:val="22"/>
              </w:rPr>
              <w:t xml:space="preserve"> 1 %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E17E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 w:val="0"/>
                <w:color w:val="00B05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70B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AA5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DA20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D6014" w:rsidRPr="00ED6014" w14:paraId="2E2CFC3A" w14:textId="77777777" w:rsidTr="00ED6014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C91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445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10,1692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A61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  <w:t>10,2699 €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7BC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  <w:t>10,2709 €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F1BC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9C5A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SMIC 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077B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SMIC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AE9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proofErr w:type="gramStart"/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rapport</w:t>
            </w:r>
            <w:proofErr w:type="gramEnd"/>
          </w:p>
        </w:tc>
      </w:tr>
      <w:tr w:rsidR="00ED6014" w:rsidRPr="00ED6014" w14:paraId="29195A19" w14:textId="77777777" w:rsidTr="00ED6014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FDA9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05E7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9A9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  <w:t>10,3616 €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1D2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  <w:t>10,3626 €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3E91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33F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0F2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26F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0,99%</w:t>
            </w:r>
          </w:p>
        </w:tc>
      </w:tr>
      <w:tr w:rsidR="00ED6014" w:rsidRPr="00ED6014" w14:paraId="00CEFDA6" w14:textId="77777777" w:rsidTr="00ED6014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887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CC5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10,3506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C05C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  <w:t>10,4531 €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525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  <w:t>10,4541 €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4701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B70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9265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1B0F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D6014" w:rsidRPr="00ED6014" w14:paraId="5326611D" w14:textId="77777777" w:rsidTr="00ED6014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6BB3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3D1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A57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  <w:t>10,5444 €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B977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  <w:t>10,5454 €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3FF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B05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0F8F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FF5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8FC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D6014" w:rsidRPr="00ED6014" w14:paraId="61E42A90" w14:textId="77777777" w:rsidTr="00ED6014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003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AAD5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2FA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0C7F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85C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269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30D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BB1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ED6014" w:rsidRPr="00ED6014" w14:paraId="2D416F41" w14:textId="77777777" w:rsidTr="00ED6014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A6C" w14:textId="77777777" w:rsidR="00ED6014" w:rsidRPr="00ED6014" w:rsidRDefault="00ED6014" w:rsidP="00ED6014">
            <w:pPr>
              <w:spacing w:before="0" w:beforeAutospacing="0" w:after="0" w:afterAutospacing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81F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SMIC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5184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INDICE 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1025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proofErr w:type="gramStart"/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rapport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1116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7B4C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SMIC 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136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INDICE 201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3412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proofErr w:type="gramStart"/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rapport</w:t>
            </w:r>
            <w:proofErr w:type="gramEnd"/>
          </w:p>
        </w:tc>
      </w:tr>
      <w:tr w:rsidR="00ED6014" w:rsidRPr="00ED6014" w14:paraId="063C13D1" w14:textId="77777777" w:rsidTr="00ED6014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CDA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1AC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274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10,1692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766E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-0,79%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F15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94B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2B9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10,26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A9D5" w14:textId="77777777" w:rsidR="00ED6014" w:rsidRPr="00ED6014" w:rsidRDefault="00ED6014" w:rsidP="00ED6014">
            <w:pPr>
              <w:spacing w:before="0" w:beforeAutospacing="0" w:after="0" w:afterAutospacing="0"/>
              <w:jc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</w:pPr>
            <w:r w:rsidRPr="00ED6014">
              <w:rPr>
                <w:rFonts w:ascii="Calibri" w:hAnsi="Calibri" w:cs="Calibri"/>
                <w:i w:val="0"/>
                <w:color w:val="000000"/>
                <w:sz w:val="22"/>
                <w:szCs w:val="22"/>
              </w:rPr>
              <w:t>0,10%</w:t>
            </w:r>
          </w:p>
        </w:tc>
      </w:tr>
    </w:tbl>
    <w:p w14:paraId="49D0FEAF" w14:textId="77777777" w:rsidR="00ED6014" w:rsidRDefault="00ED6014" w:rsidP="00ED6014">
      <w:pPr>
        <w:contextualSpacing/>
        <w:rPr>
          <w:rFonts w:ascii="Times New Roman" w:hAnsi="Times New Roman"/>
          <w:bCs/>
          <w:i w:val="0"/>
          <w:iCs/>
          <w:color w:val="auto"/>
        </w:rPr>
      </w:pPr>
    </w:p>
    <w:p w14:paraId="71C75D88" w14:textId="77777777" w:rsidR="00ED6014" w:rsidRPr="00ED6014" w:rsidRDefault="00ED6014" w:rsidP="00ED6014">
      <w:pPr>
        <w:contextualSpacing/>
        <w:rPr>
          <w:rFonts w:ascii="Times New Roman" w:hAnsi="Times New Roman"/>
          <w:bCs/>
          <w:i w:val="0"/>
          <w:iCs/>
          <w:color w:val="auto"/>
        </w:rPr>
      </w:pPr>
      <w:r>
        <w:rPr>
          <w:rFonts w:ascii="Times New Roman" w:hAnsi="Times New Roman"/>
          <w:bCs/>
          <w:i w:val="0"/>
          <w:iCs/>
          <w:color w:val="auto"/>
        </w:rPr>
        <w:t xml:space="preserve">DSF </w:t>
      </w:r>
      <w:r w:rsidR="000666A3">
        <w:rPr>
          <w:rFonts w:ascii="Times New Roman" w:hAnsi="Times New Roman"/>
          <w:bCs/>
          <w:i w:val="0"/>
          <w:iCs/>
          <w:color w:val="auto"/>
        </w:rPr>
        <w:t xml:space="preserve">refuse </w:t>
      </w:r>
      <w:r>
        <w:rPr>
          <w:rFonts w:ascii="Times New Roman" w:hAnsi="Times New Roman"/>
          <w:bCs/>
          <w:i w:val="0"/>
          <w:iCs/>
          <w:color w:val="auto"/>
        </w:rPr>
        <w:t>catégorique mais assure que le sujet ser</w:t>
      </w:r>
      <w:r w:rsidR="000666A3">
        <w:rPr>
          <w:rFonts w:ascii="Times New Roman" w:hAnsi="Times New Roman"/>
          <w:bCs/>
          <w:i w:val="0"/>
          <w:iCs/>
          <w:color w:val="auto"/>
        </w:rPr>
        <w:t xml:space="preserve">a abordé de nouveau cet automne, </w:t>
      </w:r>
      <w:r>
        <w:rPr>
          <w:rFonts w:ascii="Times New Roman" w:hAnsi="Times New Roman"/>
          <w:bCs/>
          <w:i w:val="0"/>
          <w:iCs/>
          <w:color w:val="auto"/>
        </w:rPr>
        <w:t>que</w:t>
      </w:r>
      <w:r w:rsidR="00985DEF">
        <w:rPr>
          <w:rFonts w:ascii="Times New Roman" w:hAnsi="Times New Roman"/>
          <w:bCs/>
          <w:i w:val="0"/>
          <w:iCs/>
          <w:color w:val="auto"/>
        </w:rPr>
        <w:t xml:space="preserve"> cette situation ne va pas durer</w:t>
      </w:r>
      <w:r>
        <w:rPr>
          <w:rFonts w:ascii="Times New Roman" w:hAnsi="Times New Roman"/>
          <w:bCs/>
          <w:i w:val="0"/>
          <w:iCs/>
          <w:color w:val="auto"/>
        </w:rPr>
        <w:t xml:space="preserve"> et que les salaires seront renégociés à la hausse. Depuis quelques années nous constatons cependant (hors crise sanitaire) que les indices ont perdu par rapport au SMIC et sont nivelés vers le bas.</w:t>
      </w:r>
    </w:p>
    <w:p w14:paraId="085C2212" w14:textId="77777777" w:rsidR="00ED6014" w:rsidRDefault="00ED6014" w:rsidP="00ED6014">
      <w:pPr>
        <w:contextualSpacing/>
        <w:rPr>
          <w:rFonts w:cstheme="minorHAnsi"/>
          <w:bCs/>
        </w:rPr>
      </w:pPr>
    </w:p>
    <w:p w14:paraId="5193C329" w14:textId="77777777" w:rsidR="00ED6014" w:rsidRDefault="00ED6014" w:rsidP="00B10D07">
      <w:pPr>
        <w:contextualSpacing/>
        <w:rPr>
          <w:rFonts w:ascii="Times New Roman" w:hAnsi="Times New Roman"/>
          <w:b/>
          <w:bCs/>
          <w:i w:val="0"/>
          <w:color w:val="0000FF"/>
          <w:sz w:val="26"/>
          <w:szCs w:val="26"/>
          <w:u w:val="single"/>
        </w:rPr>
      </w:pPr>
    </w:p>
    <w:p w14:paraId="2CB2E5B2" w14:textId="77777777" w:rsidR="008B37A9" w:rsidRDefault="008B37A9" w:rsidP="00B10D07">
      <w:pPr>
        <w:contextualSpacing/>
        <w:rPr>
          <w:rFonts w:ascii="Times New Roman" w:hAnsi="Times New Roman"/>
          <w:b/>
          <w:bCs/>
          <w:i w:val="0"/>
          <w:color w:val="0000FF"/>
          <w:sz w:val="26"/>
          <w:szCs w:val="26"/>
          <w:u w:val="single"/>
        </w:rPr>
      </w:pPr>
    </w:p>
    <w:p w14:paraId="6622A36C" w14:textId="77777777" w:rsidR="00ED6014" w:rsidRDefault="00ED6014" w:rsidP="00B10D07">
      <w:pPr>
        <w:contextualSpacing/>
        <w:rPr>
          <w:rFonts w:ascii="Times New Roman" w:hAnsi="Times New Roman"/>
          <w:b/>
          <w:bCs/>
          <w:i w:val="0"/>
          <w:color w:val="0000FF"/>
          <w:sz w:val="26"/>
          <w:szCs w:val="26"/>
          <w:u w:val="single"/>
        </w:rPr>
      </w:pPr>
    </w:p>
    <w:p w14:paraId="59E44431" w14:textId="77777777" w:rsidR="00B10D07" w:rsidRPr="005711EA" w:rsidRDefault="00106BC7" w:rsidP="00B10D07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  <w:r>
        <w:rPr>
          <w:rFonts w:ascii="Times New Roman" w:hAnsi="Times New Roman"/>
          <w:b/>
          <w:bCs/>
          <w:i w:val="0"/>
          <w:color w:val="0000FF"/>
          <w:sz w:val="26"/>
          <w:szCs w:val="26"/>
          <w:u w:val="single"/>
        </w:rPr>
        <w:t>Un accord portant sur l’activité partielle longue durée (APLD)</w:t>
      </w:r>
    </w:p>
    <w:p w14:paraId="25190377" w14:textId="77777777" w:rsidR="00FC73E7" w:rsidRPr="00106BC7" w:rsidRDefault="00FC73E7" w:rsidP="00B10D07">
      <w:pPr>
        <w:contextualSpacing/>
        <w:rPr>
          <w:rFonts w:ascii="Times New Roman" w:hAnsi="Times New Roman"/>
          <w:i w:val="0"/>
          <w:color w:val="auto"/>
        </w:rPr>
      </w:pPr>
      <w:bookmarkStart w:id="2" w:name="_Hlk64973673"/>
      <w:bookmarkStart w:id="3" w:name="_Hlk69998381"/>
      <w:bookmarkEnd w:id="1"/>
    </w:p>
    <w:p w14:paraId="4BA6A2C7" w14:textId="77777777" w:rsidR="00FC73E7" w:rsidRDefault="008E6C4F" w:rsidP="00B10D07">
      <w:pPr>
        <w:contextualSpacing/>
        <w:rPr>
          <w:rFonts w:ascii="Times New Roman" w:hAnsi="Times New Roman"/>
          <w:i w:val="0"/>
          <w:color w:val="auto"/>
        </w:rPr>
      </w:pPr>
      <w:r w:rsidRPr="008E6C4F">
        <w:rPr>
          <w:rFonts w:ascii="Times New Roman" w:hAnsi="Times New Roman"/>
          <w:i w:val="0"/>
          <w:color w:val="auto"/>
        </w:rPr>
        <w:t>L’objectif de signer cet accord est un maintien de la rémunération à 70 % pour les salariés et un remboursement à 60% pour l’entreprise.</w:t>
      </w:r>
    </w:p>
    <w:p w14:paraId="52BF8F1F" w14:textId="77777777" w:rsidR="001A4254" w:rsidRPr="001A4254" w:rsidRDefault="001A4254" w:rsidP="001A4254">
      <w:pPr>
        <w:contextualSpacing/>
        <w:rPr>
          <w:rFonts w:ascii="Times New Roman" w:hAnsi="Times New Roman"/>
          <w:i w:val="0"/>
          <w:iCs/>
          <w:color w:val="auto"/>
        </w:rPr>
      </w:pPr>
      <w:r w:rsidRPr="001A4254">
        <w:rPr>
          <w:rFonts w:ascii="Times New Roman" w:hAnsi="Times New Roman"/>
          <w:i w:val="0"/>
          <w:iCs/>
          <w:color w:val="auto"/>
        </w:rPr>
        <w:t xml:space="preserve">Concernant l’emploi salarié, la branche compte près de 18.000 collaborateurs, 3.000 permanents et 15.000 saisonniers. </w:t>
      </w:r>
    </w:p>
    <w:p w14:paraId="19E28882" w14:textId="77777777" w:rsidR="001A4254" w:rsidRPr="001A4254" w:rsidRDefault="001A4254" w:rsidP="001A4254">
      <w:pPr>
        <w:contextualSpacing/>
        <w:rPr>
          <w:rFonts w:ascii="Times New Roman" w:hAnsi="Times New Roman"/>
          <w:i w:val="0"/>
          <w:iCs/>
          <w:color w:val="auto"/>
        </w:rPr>
      </w:pPr>
      <w:r w:rsidRPr="001A4254">
        <w:rPr>
          <w:rFonts w:ascii="Times New Roman" w:hAnsi="Times New Roman"/>
          <w:i w:val="0"/>
          <w:iCs/>
          <w:color w:val="auto"/>
        </w:rPr>
        <w:t>Le chiffre d’affaires annuel de la profession s’établit aux environs d’1,4 milliards d’</w:t>
      </w:r>
      <w:proofErr w:type="spellStart"/>
      <w:r w:rsidRPr="001A4254">
        <w:rPr>
          <w:rFonts w:ascii="Times New Roman" w:hAnsi="Times New Roman"/>
          <w:i w:val="0"/>
          <w:iCs/>
          <w:color w:val="auto"/>
        </w:rPr>
        <w:t>€uros</w:t>
      </w:r>
      <w:proofErr w:type="spellEnd"/>
      <w:r w:rsidRPr="001A4254">
        <w:rPr>
          <w:rFonts w:ascii="Times New Roman" w:hAnsi="Times New Roman"/>
          <w:i w:val="0"/>
          <w:iCs/>
          <w:color w:val="auto"/>
        </w:rPr>
        <w:t> ; plus de 95 % de ce chiffre d’affaires est réalisé pendant les 4 ou 5 mois de la saison d’hiver.</w:t>
      </w:r>
    </w:p>
    <w:p w14:paraId="229B9A73" w14:textId="77777777" w:rsidR="001A4254" w:rsidRPr="001A4254" w:rsidRDefault="001A4254" w:rsidP="001A4254">
      <w:pPr>
        <w:contextualSpacing/>
        <w:rPr>
          <w:rFonts w:ascii="Times New Roman" w:hAnsi="Times New Roman"/>
          <w:b/>
          <w:i w:val="0"/>
          <w:iCs/>
          <w:color w:val="auto"/>
        </w:rPr>
      </w:pPr>
    </w:p>
    <w:p w14:paraId="46810299" w14:textId="77777777" w:rsidR="001A4254" w:rsidRPr="001A4254" w:rsidRDefault="001A4254" w:rsidP="001A4254">
      <w:pPr>
        <w:contextualSpacing/>
        <w:rPr>
          <w:rFonts w:ascii="Times New Roman" w:hAnsi="Times New Roman"/>
          <w:bCs/>
          <w:i w:val="0"/>
          <w:iCs/>
          <w:color w:val="auto"/>
        </w:rPr>
      </w:pPr>
      <w:r w:rsidRPr="001A4254">
        <w:rPr>
          <w:rFonts w:ascii="Times New Roman" w:hAnsi="Times New Roman"/>
          <w:bCs/>
          <w:i w:val="0"/>
          <w:iCs/>
          <w:color w:val="auto"/>
        </w:rPr>
        <w:t xml:space="preserve">Depuis le début de l’hiver, le gouvernement nous oriente vers une APLD, </w:t>
      </w:r>
      <w:r w:rsidR="000666A3">
        <w:rPr>
          <w:rFonts w:ascii="Times New Roman" w:hAnsi="Times New Roman"/>
          <w:bCs/>
          <w:i w:val="0"/>
          <w:iCs/>
          <w:color w:val="auto"/>
        </w:rPr>
        <w:t>or,</w:t>
      </w:r>
      <w:r w:rsidRPr="001A4254">
        <w:rPr>
          <w:rFonts w:ascii="Times New Roman" w:hAnsi="Times New Roman"/>
          <w:bCs/>
          <w:i w:val="0"/>
          <w:iCs/>
          <w:color w:val="auto"/>
        </w:rPr>
        <w:t xml:space="preserve"> il y a quelques jours il nous annonce que les saisonniers ne seront pas pris en compte dans l’APLD.</w:t>
      </w:r>
    </w:p>
    <w:p w14:paraId="5E4D72BC" w14:textId="77777777" w:rsidR="001A4254" w:rsidRDefault="001A4254" w:rsidP="001A4254">
      <w:pPr>
        <w:contextualSpacing/>
        <w:rPr>
          <w:rFonts w:ascii="Times New Roman" w:hAnsi="Times New Roman"/>
          <w:b/>
          <w:i w:val="0"/>
          <w:iCs/>
          <w:color w:val="auto"/>
        </w:rPr>
      </w:pPr>
      <w:r w:rsidRPr="001A4254">
        <w:rPr>
          <w:rFonts w:ascii="Times New Roman" w:hAnsi="Times New Roman"/>
          <w:bCs/>
          <w:i w:val="0"/>
          <w:iCs/>
          <w:color w:val="auto"/>
        </w:rPr>
        <w:t xml:space="preserve">Nous avons quand même travaillé sur l’accord pour </w:t>
      </w:r>
      <w:r w:rsidR="000666A3">
        <w:rPr>
          <w:rFonts w:ascii="Times New Roman" w:hAnsi="Times New Roman"/>
          <w:bCs/>
          <w:i w:val="0"/>
          <w:iCs/>
          <w:color w:val="auto"/>
        </w:rPr>
        <w:t xml:space="preserve">apporter </w:t>
      </w:r>
      <w:r w:rsidRPr="001A4254">
        <w:rPr>
          <w:rFonts w:ascii="Times New Roman" w:hAnsi="Times New Roman"/>
          <w:bCs/>
          <w:i w:val="0"/>
          <w:iCs/>
          <w:color w:val="auto"/>
        </w:rPr>
        <w:t xml:space="preserve">quelques modifications, </w:t>
      </w:r>
      <w:r w:rsidRPr="001A4254">
        <w:rPr>
          <w:rFonts w:ascii="Times New Roman" w:hAnsi="Times New Roman"/>
          <w:b/>
          <w:i w:val="0"/>
          <w:iCs/>
          <w:color w:val="auto"/>
        </w:rPr>
        <w:t>mais ne signerons rien si les saisonniers ne sont pas pris en compte</w:t>
      </w:r>
      <w:r>
        <w:rPr>
          <w:rFonts w:ascii="Times New Roman" w:hAnsi="Times New Roman"/>
          <w:b/>
          <w:i w:val="0"/>
          <w:iCs/>
          <w:color w:val="auto"/>
        </w:rPr>
        <w:t xml:space="preserve">. </w:t>
      </w:r>
    </w:p>
    <w:p w14:paraId="5C377741" w14:textId="77777777" w:rsidR="001A4254" w:rsidRDefault="001A4254" w:rsidP="001A4254">
      <w:pPr>
        <w:contextualSpacing/>
        <w:rPr>
          <w:rFonts w:ascii="Times New Roman" w:hAnsi="Times New Roman"/>
          <w:b/>
          <w:i w:val="0"/>
          <w:iCs/>
          <w:color w:val="auto"/>
        </w:rPr>
      </w:pPr>
    </w:p>
    <w:p w14:paraId="56E6D41A" w14:textId="1E20694D" w:rsidR="001A4254" w:rsidRPr="001A4254" w:rsidRDefault="001A4254" w:rsidP="001A4254">
      <w:pPr>
        <w:contextualSpacing/>
        <w:rPr>
          <w:rFonts w:ascii="Times New Roman" w:hAnsi="Times New Roman"/>
          <w:b/>
          <w:i w:val="0"/>
          <w:iCs/>
          <w:color w:val="auto"/>
        </w:rPr>
      </w:pPr>
      <w:r>
        <w:rPr>
          <w:rFonts w:ascii="Times New Roman" w:hAnsi="Times New Roman"/>
          <w:b/>
          <w:i w:val="0"/>
          <w:iCs/>
          <w:color w:val="auto"/>
        </w:rPr>
        <w:t>Nous ne comprenons pas le gouvernement</w:t>
      </w:r>
      <w:r w:rsidR="00401861">
        <w:rPr>
          <w:rFonts w:ascii="Times New Roman" w:hAnsi="Times New Roman"/>
          <w:b/>
          <w:i w:val="0"/>
          <w:iCs/>
          <w:color w:val="auto"/>
        </w:rPr>
        <w:t>.</w:t>
      </w:r>
      <w:r w:rsidR="000666A3">
        <w:rPr>
          <w:rFonts w:ascii="Times New Roman" w:hAnsi="Times New Roman"/>
          <w:b/>
          <w:i w:val="0"/>
          <w:iCs/>
          <w:color w:val="auto"/>
        </w:rPr>
        <w:t xml:space="preserve"> </w:t>
      </w:r>
      <w:r w:rsidR="00401861">
        <w:rPr>
          <w:rFonts w:ascii="Times New Roman" w:hAnsi="Times New Roman"/>
          <w:b/>
          <w:i w:val="0"/>
          <w:iCs/>
          <w:color w:val="auto"/>
        </w:rPr>
        <w:t>A</w:t>
      </w:r>
      <w:r w:rsidR="000666A3">
        <w:rPr>
          <w:rFonts w:ascii="Times New Roman" w:hAnsi="Times New Roman"/>
          <w:b/>
          <w:i w:val="0"/>
          <w:iCs/>
          <w:color w:val="auto"/>
        </w:rPr>
        <w:t xml:space="preserve"> partir du moment </w:t>
      </w:r>
      <w:r w:rsidR="00401861">
        <w:rPr>
          <w:rFonts w:ascii="Times New Roman" w:hAnsi="Times New Roman"/>
          <w:b/>
          <w:i w:val="0"/>
          <w:iCs/>
          <w:color w:val="auto"/>
        </w:rPr>
        <w:t>où</w:t>
      </w:r>
      <w:r w:rsidR="000666A3">
        <w:rPr>
          <w:rFonts w:ascii="Times New Roman" w:hAnsi="Times New Roman"/>
          <w:b/>
          <w:i w:val="0"/>
          <w:iCs/>
          <w:color w:val="auto"/>
        </w:rPr>
        <w:t xml:space="preserve"> il exclut</w:t>
      </w:r>
      <w:r>
        <w:rPr>
          <w:rFonts w:ascii="Times New Roman" w:hAnsi="Times New Roman"/>
          <w:b/>
          <w:i w:val="0"/>
          <w:iCs/>
          <w:color w:val="auto"/>
        </w:rPr>
        <w:t xml:space="preserve"> </w:t>
      </w:r>
      <w:r w:rsidR="00401861">
        <w:rPr>
          <w:rFonts w:ascii="Times New Roman" w:hAnsi="Times New Roman"/>
          <w:b/>
          <w:i w:val="0"/>
          <w:iCs/>
          <w:color w:val="auto"/>
        </w:rPr>
        <w:t>les saisonniers</w:t>
      </w:r>
      <w:r>
        <w:rPr>
          <w:rFonts w:ascii="Times New Roman" w:hAnsi="Times New Roman"/>
          <w:b/>
          <w:i w:val="0"/>
          <w:iCs/>
          <w:color w:val="auto"/>
        </w:rPr>
        <w:t xml:space="preserve"> c’est qu’il ne prend pas en compte </w:t>
      </w:r>
      <w:r w:rsidR="000666A3">
        <w:rPr>
          <w:rFonts w:ascii="Times New Roman" w:hAnsi="Times New Roman"/>
          <w:b/>
          <w:i w:val="0"/>
          <w:iCs/>
          <w:color w:val="auto"/>
        </w:rPr>
        <w:t xml:space="preserve">les spécificités de </w:t>
      </w:r>
      <w:r>
        <w:rPr>
          <w:rFonts w:ascii="Times New Roman" w:hAnsi="Times New Roman"/>
          <w:b/>
          <w:i w:val="0"/>
          <w:iCs/>
          <w:color w:val="auto"/>
        </w:rPr>
        <w:t>notre branche</w:t>
      </w:r>
      <w:r w:rsidR="00401861">
        <w:rPr>
          <w:rFonts w:ascii="Times New Roman" w:hAnsi="Times New Roman"/>
          <w:b/>
          <w:i w:val="0"/>
          <w:iCs/>
          <w:color w:val="auto"/>
        </w:rPr>
        <w:t>.</w:t>
      </w:r>
    </w:p>
    <w:p w14:paraId="7063BAF7" w14:textId="77777777" w:rsidR="001A4254" w:rsidRPr="008E6C4F" w:rsidRDefault="001A4254" w:rsidP="00B10D07">
      <w:pPr>
        <w:contextualSpacing/>
        <w:rPr>
          <w:rFonts w:ascii="Times New Roman" w:hAnsi="Times New Roman"/>
          <w:i w:val="0"/>
          <w:color w:val="auto"/>
        </w:rPr>
      </w:pPr>
    </w:p>
    <w:p w14:paraId="3D08878C" w14:textId="77777777" w:rsidR="00FC73E7" w:rsidRDefault="00FC73E7" w:rsidP="00B10D07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0B44DC68" w14:textId="77777777" w:rsidR="00B10D07" w:rsidRPr="005711EA" w:rsidRDefault="00383F9C" w:rsidP="00B10D07">
      <w:pPr>
        <w:contextualSpacing/>
        <w:rPr>
          <w:rFonts w:ascii="Times New Roman" w:hAnsi="Times New Roman"/>
          <w:b/>
          <w:bCs/>
          <w:i w:val="0"/>
          <w:color w:val="auto"/>
        </w:rPr>
      </w:pPr>
      <w:r>
        <w:rPr>
          <w:rFonts w:ascii="Times New Roman" w:hAnsi="Times New Roman"/>
          <w:b/>
          <w:bCs/>
          <w:i w:val="0"/>
          <w:color w:val="auto"/>
          <w:u w:val="single"/>
        </w:rPr>
        <w:t xml:space="preserve">Lecture et points </w:t>
      </w:r>
      <w:bookmarkEnd w:id="2"/>
      <w:r w:rsidR="00B10D07" w:rsidRPr="005711EA">
        <w:rPr>
          <w:rFonts w:ascii="Times New Roman" w:hAnsi="Times New Roman"/>
          <w:b/>
          <w:bCs/>
          <w:i w:val="0"/>
          <w:color w:val="auto"/>
          <w:u w:val="single"/>
        </w:rPr>
        <w:t>par les organisations syndicales</w:t>
      </w:r>
      <w:r w:rsidR="00106BC7">
        <w:rPr>
          <w:rFonts w:ascii="Times New Roman" w:hAnsi="Times New Roman"/>
          <w:b/>
          <w:bCs/>
          <w:i w:val="0"/>
          <w:color w:val="auto"/>
          <w:u w:val="single"/>
        </w:rPr>
        <w:t xml:space="preserve"> sur l’accord APLD</w:t>
      </w:r>
      <w:r w:rsidR="00B10D07" w:rsidRPr="005711EA">
        <w:rPr>
          <w:rFonts w:ascii="Times New Roman" w:hAnsi="Times New Roman"/>
          <w:b/>
          <w:bCs/>
          <w:i w:val="0"/>
          <w:color w:val="auto"/>
        </w:rPr>
        <w:t xml:space="preserve"> :</w:t>
      </w:r>
    </w:p>
    <w:bookmarkEnd w:id="3"/>
    <w:p w14:paraId="6BC82D63" w14:textId="77777777" w:rsidR="00383F9C" w:rsidRDefault="00383F9C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79822439" w14:textId="77777777" w:rsidR="00396249" w:rsidRDefault="00396249" w:rsidP="00863B79">
      <w:pPr>
        <w:contextualSpacing/>
        <w:rPr>
          <w:rFonts w:ascii="Times New Roman" w:hAnsi="Times New Roman"/>
          <w:bCs/>
          <w:i w:val="0"/>
          <w:color w:val="auto"/>
        </w:rPr>
      </w:pPr>
      <w:r w:rsidRPr="0064248C">
        <w:rPr>
          <w:rFonts w:ascii="Times New Roman" w:hAnsi="Times New Roman"/>
          <w:bCs/>
          <w:i w:val="0"/>
          <w:color w:val="auto"/>
          <w:u w:val="single"/>
        </w:rPr>
        <w:t>Article 3</w:t>
      </w:r>
      <w:r>
        <w:rPr>
          <w:rFonts w:ascii="Times New Roman" w:hAnsi="Times New Roman"/>
          <w:bCs/>
          <w:i w:val="0"/>
          <w:color w:val="auto"/>
        </w:rPr>
        <w:t xml:space="preserve"> :  </w:t>
      </w:r>
    </w:p>
    <w:p w14:paraId="10B4A941" w14:textId="7822853F" w:rsidR="00A60905" w:rsidRDefault="00401861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Proposition</w:t>
      </w:r>
      <w:r w:rsidR="00396249">
        <w:rPr>
          <w:rFonts w:ascii="Times New Roman" w:hAnsi="Times New Roman"/>
          <w:bCs/>
          <w:i w:val="0"/>
          <w:color w:val="auto"/>
        </w:rPr>
        <w:t xml:space="preserve"> de FO sur le 2</w:t>
      </w:r>
      <w:r w:rsidR="00396249" w:rsidRPr="00396249">
        <w:rPr>
          <w:rFonts w:ascii="Times New Roman" w:hAnsi="Times New Roman"/>
          <w:bCs/>
          <w:i w:val="0"/>
          <w:color w:val="auto"/>
          <w:vertAlign w:val="superscript"/>
        </w:rPr>
        <w:t>ème</w:t>
      </w:r>
      <w:r w:rsidR="00396249">
        <w:rPr>
          <w:rFonts w:ascii="Times New Roman" w:hAnsi="Times New Roman"/>
          <w:bCs/>
          <w:i w:val="0"/>
          <w:color w:val="auto"/>
        </w:rPr>
        <w:t xml:space="preserve"> paragraphe et après débat</w:t>
      </w:r>
      <w:r w:rsidR="00A60905">
        <w:rPr>
          <w:rFonts w:ascii="Times New Roman" w:hAnsi="Times New Roman"/>
          <w:bCs/>
          <w:i w:val="0"/>
          <w:color w:val="auto"/>
        </w:rPr>
        <w:t>, nouvelle rédaction</w:t>
      </w:r>
      <w:r w:rsidR="004D1EA0">
        <w:rPr>
          <w:rFonts w:ascii="Times New Roman" w:hAnsi="Times New Roman"/>
          <w:bCs/>
          <w:i w:val="0"/>
          <w:color w:val="auto"/>
        </w:rPr>
        <w:t> :</w:t>
      </w:r>
    </w:p>
    <w:p w14:paraId="7DCDD08A" w14:textId="77777777" w:rsidR="00A60905" w:rsidRDefault="00A60905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« Le présent accord s’applique à tous les salariés de l’entreprise </w:t>
      </w:r>
      <w:r w:rsidRPr="00A60905">
        <w:rPr>
          <w:rFonts w:ascii="Times New Roman" w:hAnsi="Times New Roman"/>
          <w:bCs/>
          <w:i w:val="0"/>
          <w:color w:val="00B050"/>
        </w:rPr>
        <w:t>(y compris les salariés saisonniers dès lors qu’ils étaient détenteurs d’un contrat de travail la saison précédente) quel que soit leur</w:t>
      </w:r>
      <w:r>
        <w:rPr>
          <w:rFonts w:ascii="Times New Roman" w:hAnsi="Times New Roman"/>
          <w:bCs/>
          <w:i w:val="0"/>
          <w:color w:val="auto"/>
        </w:rPr>
        <w:t xml:space="preserve"> temps de travail contractuel (temps plein ou temps partiel) notamment. </w:t>
      </w:r>
      <w:r w:rsidRPr="00A60905">
        <w:rPr>
          <w:rFonts w:ascii="Times New Roman" w:hAnsi="Times New Roman"/>
          <w:bCs/>
          <w:i w:val="0"/>
          <w:color w:val="00B050"/>
        </w:rPr>
        <w:t>Il est à noter que</w:t>
      </w:r>
      <w:r>
        <w:rPr>
          <w:rFonts w:ascii="Times New Roman" w:hAnsi="Times New Roman"/>
          <w:bCs/>
          <w:i w:val="0"/>
          <w:color w:val="auto"/>
        </w:rPr>
        <w:t xml:space="preserve"> les dispositions conventionnelles relatives à l’embauche des saisonniers (promesse d’embauche, reconduction ou priorité de réembauchage) impliquent la prise en compte de </w:t>
      </w:r>
      <w:r w:rsidRPr="00A60905">
        <w:rPr>
          <w:rFonts w:ascii="Times New Roman" w:hAnsi="Times New Roman"/>
          <w:bCs/>
          <w:i w:val="0"/>
          <w:color w:val="00B050"/>
        </w:rPr>
        <w:t>tous les saisonniers</w:t>
      </w:r>
      <w:r>
        <w:rPr>
          <w:rFonts w:ascii="Times New Roman" w:hAnsi="Times New Roman"/>
          <w:bCs/>
          <w:i w:val="0"/>
          <w:color w:val="auto"/>
        </w:rPr>
        <w:t>. »</w:t>
      </w:r>
    </w:p>
    <w:p w14:paraId="5BC64B99" w14:textId="77777777" w:rsidR="00A60905" w:rsidRDefault="00A60905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614F0406" w14:textId="77777777" w:rsidR="00396249" w:rsidRDefault="00A60905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5</w:t>
      </w:r>
      <w:r w:rsidRPr="00A60905">
        <w:rPr>
          <w:rFonts w:ascii="Times New Roman" w:hAnsi="Times New Roman"/>
          <w:bCs/>
          <w:i w:val="0"/>
          <w:color w:val="auto"/>
          <w:vertAlign w:val="superscript"/>
        </w:rPr>
        <w:t>ème</w:t>
      </w:r>
      <w:r>
        <w:rPr>
          <w:rFonts w:ascii="Times New Roman" w:hAnsi="Times New Roman"/>
          <w:bCs/>
          <w:i w:val="0"/>
          <w:color w:val="auto"/>
        </w:rPr>
        <w:t xml:space="preserve"> paragraphe : </w:t>
      </w:r>
    </w:p>
    <w:p w14:paraId="2F5A330C" w14:textId="77777777" w:rsidR="00396249" w:rsidRDefault="00A60905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« Il est entendu entre les partenaires sociaux que l’APLD ne peut être mise en place que dans le strict cadre des dispositions légales et règlementaire en vigueur </w:t>
      </w:r>
      <w:r w:rsidRPr="00A60905">
        <w:rPr>
          <w:rFonts w:ascii="Times New Roman" w:hAnsi="Times New Roman"/>
          <w:bCs/>
          <w:i w:val="0"/>
          <w:color w:val="00B050"/>
        </w:rPr>
        <w:t>(modalités de répartition du travail</w:t>
      </w:r>
      <w:r>
        <w:rPr>
          <w:rFonts w:ascii="Times New Roman" w:hAnsi="Times New Roman"/>
          <w:bCs/>
          <w:i w:val="0"/>
          <w:color w:val="auto"/>
        </w:rPr>
        <w:t>…). »</w:t>
      </w:r>
    </w:p>
    <w:p w14:paraId="3265172C" w14:textId="77777777" w:rsidR="00383F9C" w:rsidRDefault="00383F9C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6B36B538" w14:textId="77777777" w:rsidR="00383F9C" w:rsidRDefault="00A60905" w:rsidP="00863B79">
      <w:pPr>
        <w:contextualSpacing/>
        <w:rPr>
          <w:rFonts w:ascii="Times New Roman" w:hAnsi="Times New Roman"/>
          <w:bCs/>
          <w:i w:val="0"/>
          <w:noProof/>
          <w:color w:val="auto"/>
        </w:rPr>
      </w:pPr>
      <w:r>
        <w:rPr>
          <w:rFonts w:ascii="Times New Roman" w:hAnsi="Times New Roman"/>
          <w:bCs/>
          <w:i w:val="0"/>
          <w:noProof/>
          <w:color w:val="auto"/>
        </w:rPr>
        <w:t>6</w:t>
      </w:r>
      <w:r w:rsidRPr="00A60905">
        <w:rPr>
          <w:rFonts w:ascii="Times New Roman" w:hAnsi="Times New Roman"/>
          <w:bCs/>
          <w:i w:val="0"/>
          <w:noProof/>
          <w:color w:val="auto"/>
          <w:vertAlign w:val="superscript"/>
        </w:rPr>
        <w:t>ème</w:t>
      </w:r>
      <w:r>
        <w:rPr>
          <w:rFonts w:ascii="Times New Roman" w:hAnsi="Times New Roman"/>
          <w:bCs/>
          <w:i w:val="0"/>
          <w:noProof/>
          <w:color w:val="auto"/>
        </w:rPr>
        <w:t xml:space="preserve"> paragra</w:t>
      </w:r>
      <w:r w:rsidR="00554953">
        <w:rPr>
          <w:rFonts w:ascii="Times New Roman" w:hAnsi="Times New Roman"/>
          <w:bCs/>
          <w:i w:val="0"/>
          <w:noProof/>
          <w:color w:val="auto"/>
        </w:rPr>
        <w:t xml:space="preserve">phe : </w:t>
      </w:r>
    </w:p>
    <w:p w14:paraId="2CD31510" w14:textId="77777777" w:rsidR="00554953" w:rsidRDefault="00554953" w:rsidP="00863B79">
      <w:pPr>
        <w:contextualSpacing/>
        <w:rPr>
          <w:rFonts w:ascii="Times New Roman" w:hAnsi="Times New Roman"/>
          <w:bCs/>
          <w:i w:val="0"/>
          <w:noProof/>
          <w:color w:val="auto"/>
        </w:rPr>
      </w:pPr>
      <w:r>
        <w:rPr>
          <w:rFonts w:ascii="Times New Roman" w:hAnsi="Times New Roman"/>
          <w:bCs/>
          <w:i w:val="0"/>
          <w:noProof/>
          <w:color w:val="auto"/>
        </w:rPr>
        <w:t xml:space="preserve">« Ces éléments doivent être précisés au sein du document unilatéral relatif à l’activité partielle spécifique propre à l’entreprise et élaboré par l’employeur, </w:t>
      </w:r>
      <w:r w:rsidRPr="00554953">
        <w:rPr>
          <w:rFonts w:ascii="Times New Roman" w:hAnsi="Times New Roman"/>
          <w:bCs/>
          <w:i w:val="0"/>
          <w:noProof/>
          <w:color w:val="00B050"/>
        </w:rPr>
        <w:t>tout en consultant le CSE s’il existe. </w:t>
      </w:r>
      <w:r>
        <w:rPr>
          <w:rFonts w:ascii="Times New Roman" w:hAnsi="Times New Roman"/>
          <w:bCs/>
          <w:i w:val="0"/>
          <w:noProof/>
          <w:color w:val="auto"/>
        </w:rPr>
        <w:t>»</w:t>
      </w:r>
    </w:p>
    <w:p w14:paraId="38DBDA0F" w14:textId="77777777" w:rsidR="00106BC7" w:rsidRDefault="00106BC7" w:rsidP="00863B79">
      <w:pPr>
        <w:contextualSpacing/>
        <w:rPr>
          <w:rFonts w:ascii="Times New Roman" w:hAnsi="Times New Roman"/>
          <w:bCs/>
          <w:i w:val="0"/>
          <w:noProof/>
          <w:color w:val="auto"/>
        </w:rPr>
      </w:pPr>
    </w:p>
    <w:p w14:paraId="654943B8" w14:textId="77777777" w:rsidR="00554953" w:rsidRDefault="00236514" w:rsidP="00863B79">
      <w:pPr>
        <w:contextualSpacing/>
        <w:rPr>
          <w:rFonts w:ascii="Times New Roman" w:hAnsi="Times New Roman"/>
          <w:bCs/>
          <w:i w:val="0"/>
          <w:noProof/>
          <w:color w:val="auto"/>
        </w:rPr>
      </w:pPr>
      <w:r w:rsidRPr="0064248C">
        <w:rPr>
          <w:rFonts w:ascii="Times New Roman" w:hAnsi="Times New Roman"/>
          <w:bCs/>
          <w:i w:val="0"/>
          <w:noProof/>
          <w:color w:val="auto"/>
          <w:u w:val="single"/>
        </w:rPr>
        <w:t>Article 4</w:t>
      </w:r>
      <w:r>
        <w:rPr>
          <w:rFonts w:ascii="Times New Roman" w:hAnsi="Times New Roman"/>
          <w:bCs/>
          <w:i w:val="0"/>
          <w:noProof/>
          <w:color w:val="auto"/>
        </w:rPr>
        <w:t xml:space="preserve"> : </w:t>
      </w:r>
    </w:p>
    <w:p w14:paraId="46B7D49E" w14:textId="77777777" w:rsidR="00236514" w:rsidRDefault="00106BC7" w:rsidP="00863B79">
      <w:pPr>
        <w:contextualSpacing/>
        <w:rPr>
          <w:rFonts w:ascii="Times New Roman" w:hAnsi="Times New Roman"/>
          <w:bCs/>
          <w:i w:val="0"/>
          <w:noProof/>
          <w:color w:val="auto"/>
        </w:rPr>
      </w:pPr>
      <w:r>
        <w:rPr>
          <w:rFonts w:ascii="Times New Roman" w:hAnsi="Times New Roman"/>
          <w:bCs/>
          <w:i w:val="0"/>
          <w:noProof/>
          <w:color w:val="auto"/>
        </w:rPr>
        <w:t>R</w:t>
      </w:r>
      <w:r w:rsidR="00236514">
        <w:rPr>
          <w:rFonts w:ascii="Times New Roman" w:hAnsi="Times New Roman"/>
          <w:bCs/>
          <w:i w:val="0"/>
          <w:noProof/>
          <w:color w:val="auto"/>
        </w:rPr>
        <w:t xml:space="preserve">ajout d’une dernière phrase : </w:t>
      </w:r>
    </w:p>
    <w:p w14:paraId="15648505" w14:textId="77777777" w:rsidR="00236514" w:rsidRDefault="00236514" w:rsidP="00863B79">
      <w:pPr>
        <w:contextualSpacing/>
        <w:rPr>
          <w:rFonts w:ascii="Times New Roman" w:hAnsi="Times New Roman"/>
          <w:bCs/>
          <w:i w:val="0"/>
          <w:noProof/>
          <w:color w:val="auto"/>
        </w:rPr>
      </w:pPr>
      <w:r>
        <w:rPr>
          <w:rFonts w:ascii="Times New Roman" w:hAnsi="Times New Roman"/>
          <w:bCs/>
          <w:i w:val="0"/>
          <w:noProof/>
          <w:color w:val="auto"/>
        </w:rPr>
        <w:t>« </w:t>
      </w:r>
      <w:r w:rsidRPr="00236514">
        <w:rPr>
          <w:rFonts w:ascii="Times New Roman" w:hAnsi="Times New Roman"/>
          <w:bCs/>
          <w:i w:val="0"/>
          <w:noProof/>
          <w:color w:val="00B050"/>
        </w:rPr>
        <w:t>Les condi</w:t>
      </w:r>
      <w:r w:rsidR="008E6C4F">
        <w:rPr>
          <w:rFonts w:ascii="Times New Roman" w:hAnsi="Times New Roman"/>
          <w:bCs/>
          <w:i w:val="0"/>
          <w:noProof/>
          <w:color w:val="00B050"/>
        </w:rPr>
        <w:t>t</w:t>
      </w:r>
      <w:r w:rsidRPr="00236514">
        <w:rPr>
          <w:rFonts w:ascii="Times New Roman" w:hAnsi="Times New Roman"/>
          <w:bCs/>
          <w:i w:val="0"/>
          <w:noProof/>
          <w:color w:val="00B050"/>
        </w:rPr>
        <w:t>ions d’un accord d’entreprise pourront être plus favorables que l’accord de branche. </w:t>
      </w:r>
      <w:r>
        <w:rPr>
          <w:rFonts w:ascii="Times New Roman" w:hAnsi="Times New Roman"/>
          <w:bCs/>
          <w:i w:val="0"/>
          <w:noProof/>
          <w:color w:val="auto"/>
        </w:rPr>
        <w:t>»</w:t>
      </w:r>
    </w:p>
    <w:p w14:paraId="4C4FDF91" w14:textId="77777777" w:rsidR="00236514" w:rsidRDefault="00236514" w:rsidP="00863B79">
      <w:pPr>
        <w:contextualSpacing/>
        <w:rPr>
          <w:rFonts w:ascii="Times New Roman" w:hAnsi="Times New Roman"/>
          <w:bCs/>
          <w:i w:val="0"/>
          <w:noProof/>
          <w:color w:val="auto"/>
        </w:rPr>
      </w:pPr>
    </w:p>
    <w:p w14:paraId="2F4093D8" w14:textId="77777777" w:rsidR="00236514" w:rsidRDefault="00106BC7" w:rsidP="00863B79">
      <w:pPr>
        <w:contextualSpacing/>
        <w:rPr>
          <w:rFonts w:ascii="Times New Roman" w:hAnsi="Times New Roman"/>
          <w:bCs/>
          <w:i w:val="0"/>
          <w:color w:val="auto"/>
        </w:rPr>
      </w:pPr>
      <w:r w:rsidRPr="0064248C">
        <w:rPr>
          <w:rFonts w:ascii="Times New Roman" w:hAnsi="Times New Roman"/>
          <w:bCs/>
          <w:i w:val="0"/>
          <w:color w:val="auto"/>
          <w:u w:val="single"/>
        </w:rPr>
        <w:t>Article 5</w:t>
      </w:r>
      <w:r>
        <w:rPr>
          <w:rFonts w:ascii="Times New Roman" w:hAnsi="Times New Roman"/>
          <w:bCs/>
          <w:i w:val="0"/>
          <w:color w:val="auto"/>
        </w:rPr>
        <w:t xml:space="preserve"> : </w:t>
      </w:r>
    </w:p>
    <w:p w14:paraId="5B749AF6" w14:textId="77777777" w:rsidR="00106BC7" w:rsidRDefault="00106BC7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1</w:t>
      </w:r>
      <w:r w:rsidRPr="00106BC7">
        <w:rPr>
          <w:rFonts w:ascii="Times New Roman" w:hAnsi="Times New Roman"/>
          <w:bCs/>
          <w:i w:val="0"/>
          <w:color w:val="auto"/>
          <w:vertAlign w:val="superscript"/>
        </w:rPr>
        <w:t>er</w:t>
      </w:r>
      <w:r>
        <w:rPr>
          <w:rFonts w:ascii="Times New Roman" w:hAnsi="Times New Roman"/>
          <w:bCs/>
          <w:i w:val="0"/>
          <w:color w:val="auto"/>
        </w:rPr>
        <w:t xml:space="preserve"> paragraphe : </w:t>
      </w:r>
    </w:p>
    <w:p w14:paraId="2369B2E0" w14:textId="5ADAD8F6" w:rsidR="008E6C4F" w:rsidRDefault="0064248C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« La réduction d’horaire peut conduire à la suspension temporaire de l’activité. </w:t>
      </w:r>
      <w:r w:rsidRPr="0064248C">
        <w:rPr>
          <w:rFonts w:ascii="Times New Roman" w:hAnsi="Times New Roman"/>
          <w:bCs/>
          <w:i w:val="0"/>
          <w:color w:val="00B050"/>
        </w:rPr>
        <w:t xml:space="preserve">Cette mise en œuvre des périodes d’APLD se fera en complète </w:t>
      </w:r>
      <w:proofErr w:type="gramStart"/>
      <w:r w:rsidR="00401861" w:rsidRPr="0064248C">
        <w:rPr>
          <w:rFonts w:ascii="Times New Roman" w:hAnsi="Times New Roman"/>
          <w:bCs/>
          <w:i w:val="0"/>
          <w:color w:val="00B050"/>
        </w:rPr>
        <w:t>équit</w:t>
      </w:r>
      <w:r w:rsidR="00401861">
        <w:rPr>
          <w:rFonts w:ascii="Times New Roman" w:hAnsi="Times New Roman"/>
          <w:bCs/>
          <w:i w:val="0"/>
          <w:color w:val="00B050"/>
        </w:rPr>
        <w:t>é</w:t>
      </w:r>
      <w:proofErr w:type="gramEnd"/>
      <w:r w:rsidR="00401861">
        <w:rPr>
          <w:rFonts w:ascii="Times New Roman" w:hAnsi="Times New Roman"/>
          <w:bCs/>
          <w:i w:val="0"/>
          <w:color w:val="00B050"/>
        </w:rPr>
        <w:t>.</w:t>
      </w:r>
      <w:r>
        <w:rPr>
          <w:rFonts w:ascii="Times New Roman" w:hAnsi="Times New Roman"/>
          <w:bCs/>
          <w:i w:val="0"/>
          <w:color w:val="auto"/>
        </w:rPr>
        <w:t> »</w:t>
      </w:r>
    </w:p>
    <w:p w14:paraId="28FFF73F" w14:textId="77777777" w:rsidR="00383F9C" w:rsidRDefault="00383F9C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7EBCE461" w14:textId="77777777" w:rsidR="0064248C" w:rsidRDefault="0064248C" w:rsidP="00863B79">
      <w:pPr>
        <w:contextualSpacing/>
        <w:rPr>
          <w:rFonts w:ascii="Times New Roman" w:hAnsi="Times New Roman"/>
          <w:bCs/>
          <w:i w:val="0"/>
          <w:color w:val="auto"/>
        </w:rPr>
      </w:pPr>
      <w:r w:rsidRPr="0064248C">
        <w:rPr>
          <w:rFonts w:ascii="Times New Roman" w:hAnsi="Times New Roman"/>
          <w:bCs/>
          <w:i w:val="0"/>
          <w:color w:val="auto"/>
          <w:u w:val="single"/>
        </w:rPr>
        <w:t>Article 6</w:t>
      </w:r>
      <w:r>
        <w:rPr>
          <w:rFonts w:ascii="Times New Roman" w:hAnsi="Times New Roman"/>
          <w:bCs/>
          <w:i w:val="0"/>
          <w:color w:val="auto"/>
        </w:rPr>
        <w:t xml:space="preserve"> : </w:t>
      </w:r>
    </w:p>
    <w:p w14:paraId="2F925BCB" w14:textId="77777777" w:rsidR="0064248C" w:rsidRDefault="0064248C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CD84CA5" w14:textId="77777777" w:rsidR="00554953" w:rsidRDefault="003109C0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Ajout d’une phrase en 3</w:t>
      </w:r>
      <w:r w:rsidRPr="003109C0">
        <w:rPr>
          <w:rFonts w:ascii="Times New Roman" w:hAnsi="Times New Roman"/>
          <w:bCs/>
          <w:i w:val="0"/>
          <w:color w:val="auto"/>
          <w:vertAlign w:val="superscript"/>
        </w:rPr>
        <w:t>ème</w:t>
      </w:r>
      <w:r>
        <w:rPr>
          <w:rFonts w:ascii="Times New Roman" w:hAnsi="Times New Roman"/>
          <w:bCs/>
          <w:i w:val="0"/>
          <w:color w:val="auto"/>
        </w:rPr>
        <w:t xml:space="preserve"> paragraphe : </w:t>
      </w:r>
    </w:p>
    <w:p w14:paraId="31011DE0" w14:textId="77777777" w:rsidR="003109C0" w:rsidRDefault="003109C0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« </w:t>
      </w:r>
      <w:r w:rsidRPr="003109C0">
        <w:rPr>
          <w:rFonts w:ascii="Times New Roman" w:hAnsi="Times New Roman"/>
          <w:bCs/>
          <w:i w:val="0"/>
          <w:color w:val="00B050"/>
        </w:rPr>
        <w:t>Un lissage du montant de l’indemnité APLD et de la rémunération du salarié peut donc être envisagé pour limiter l’impact sur sa rémunération mensuelle. </w:t>
      </w:r>
      <w:r>
        <w:rPr>
          <w:rFonts w:ascii="Times New Roman" w:hAnsi="Times New Roman"/>
          <w:bCs/>
          <w:i w:val="0"/>
          <w:color w:val="auto"/>
        </w:rPr>
        <w:t>»</w:t>
      </w:r>
      <w:r w:rsidR="000666A3">
        <w:rPr>
          <w:rFonts w:ascii="Times New Roman" w:hAnsi="Times New Roman"/>
          <w:bCs/>
          <w:i w:val="0"/>
          <w:color w:val="auto"/>
        </w:rPr>
        <w:t xml:space="preserve"> Nous précisons que les heures structurelles doivent être prise en compte lors du calcul de l’APL ou de l’APLD.</w:t>
      </w:r>
    </w:p>
    <w:p w14:paraId="12E3DC3D" w14:textId="77777777" w:rsidR="000666A3" w:rsidRDefault="000666A3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lastRenderedPageBreak/>
        <w:t>Le représentant de la DREETS qui ignorait cette obligation, et remettait en cause notre affirmation, doit se rendre à l’évidence après consultation du décret le précisant.</w:t>
      </w:r>
    </w:p>
    <w:p w14:paraId="4A84DD09" w14:textId="77777777" w:rsidR="003109C0" w:rsidRDefault="003109C0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66208A0B" w14:textId="77777777" w:rsidR="00FF1CFE" w:rsidRDefault="00FF1CFE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095CB7CB" w14:textId="77777777" w:rsidR="00405526" w:rsidRDefault="000C5EA3" w:rsidP="00863B79">
      <w:pPr>
        <w:contextualSpacing/>
        <w:rPr>
          <w:rFonts w:ascii="Times New Roman" w:hAnsi="Times New Roman"/>
          <w:bCs/>
          <w:i w:val="0"/>
          <w:color w:val="auto"/>
        </w:rPr>
      </w:pPr>
      <w:r w:rsidRPr="000C5EA3">
        <w:rPr>
          <w:rFonts w:ascii="Times New Roman" w:hAnsi="Times New Roman"/>
          <w:bCs/>
          <w:i w:val="0"/>
          <w:color w:val="auto"/>
          <w:u w:val="single"/>
        </w:rPr>
        <w:t>Article 9</w:t>
      </w:r>
      <w:r>
        <w:rPr>
          <w:rFonts w:ascii="Times New Roman" w:hAnsi="Times New Roman"/>
          <w:bCs/>
          <w:i w:val="0"/>
          <w:color w:val="auto"/>
        </w:rPr>
        <w:t xml:space="preserve"> : </w:t>
      </w:r>
    </w:p>
    <w:p w14:paraId="45039A86" w14:textId="77777777" w:rsidR="00405526" w:rsidRDefault="00405526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1</w:t>
      </w:r>
      <w:r w:rsidRPr="00405526">
        <w:rPr>
          <w:rFonts w:ascii="Times New Roman" w:hAnsi="Times New Roman"/>
          <w:bCs/>
          <w:i w:val="0"/>
          <w:color w:val="auto"/>
          <w:vertAlign w:val="superscript"/>
        </w:rPr>
        <w:t>er</w:t>
      </w:r>
      <w:r>
        <w:rPr>
          <w:rFonts w:ascii="Times New Roman" w:hAnsi="Times New Roman"/>
          <w:bCs/>
          <w:i w:val="0"/>
          <w:color w:val="auto"/>
        </w:rPr>
        <w:t xml:space="preserve"> paragraphe : </w:t>
      </w:r>
    </w:p>
    <w:p w14:paraId="364BCDDD" w14:textId="77777777" w:rsidR="00DE28A5" w:rsidRPr="00DE28A5" w:rsidRDefault="00DE28A5" w:rsidP="00863B79">
      <w:pPr>
        <w:contextualSpacing/>
        <w:rPr>
          <w:rFonts w:ascii="Times New Roman" w:hAnsi="Times New Roman"/>
          <w:bCs/>
          <w:i w:val="0"/>
          <w:iCs/>
          <w:color w:val="auto"/>
        </w:rPr>
      </w:pPr>
      <w:r w:rsidRPr="00DE28A5">
        <w:rPr>
          <w:rFonts w:ascii="Times New Roman" w:hAnsi="Times New Roman"/>
          <w:i w:val="0"/>
          <w:iCs/>
          <w:color w:val="auto"/>
        </w:rPr>
        <w:t xml:space="preserve">« Il n’en demeure pas moins que les engagements impliquent que les salariés </w:t>
      </w:r>
      <w:r w:rsidRPr="00DE28A5">
        <w:rPr>
          <w:rFonts w:ascii="Times New Roman" w:hAnsi="Times New Roman"/>
          <w:i w:val="0"/>
          <w:iCs/>
          <w:color w:val="00B050"/>
        </w:rPr>
        <w:t xml:space="preserve">d’une entreprise bénéficiant de l’APLD ne </w:t>
      </w:r>
      <w:r w:rsidRPr="00DE28A5">
        <w:rPr>
          <w:rFonts w:ascii="Times New Roman" w:hAnsi="Times New Roman"/>
          <w:i w:val="0"/>
          <w:iCs/>
          <w:color w:val="auto"/>
        </w:rPr>
        <w:t>fassent pas l’objet d’un licenciement pour motif économique, durant l’application du dispositif, »</w:t>
      </w:r>
    </w:p>
    <w:p w14:paraId="15256031" w14:textId="6CADF505" w:rsidR="00405526" w:rsidRDefault="004D1EA0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« </w:t>
      </w:r>
      <w:r w:rsidR="00401861">
        <w:rPr>
          <w:rFonts w:ascii="Times New Roman" w:hAnsi="Times New Roman"/>
          <w:bCs/>
          <w:i w:val="0"/>
          <w:color w:val="auto"/>
        </w:rPr>
        <w:t>Dans</w:t>
      </w:r>
      <w:r w:rsidR="00405526">
        <w:rPr>
          <w:rFonts w:ascii="Times New Roman" w:hAnsi="Times New Roman"/>
          <w:bCs/>
          <w:i w:val="0"/>
          <w:color w:val="auto"/>
        </w:rPr>
        <w:t xml:space="preserve"> le cadre d’un PSE</w:t>
      </w:r>
      <w:r>
        <w:rPr>
          <w:rFonts w:ascii="Times New Roman" w:hAnsi="Times New Roman"/>
          <w:bCs/>
          <w:i w:val="0"/>
          <w:color w:val="auto"/>
        </w:rPr>
        <w:t> »</w:t>
      </w:r>
      <w:r w:rsidR="00405526">
        <w:rPr>
          <w:rFonts w:ascii="Times New Roman" w:hAnsi="Times New Roman"/>
          <w:bCs/>
          <w:i w:val="0"/>
          <w:color w:val="auto"/>
        </w:rPr>
        <w:t xml:space="preserve"> a été retiré</w:t>
      </w:r>
    </w:p>
    <w:p w14:paraId="55E80786" w14:textId="77777777" w:rsidR="00405526" w:rsidRDefault="00405526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417583B6" w14:textId="77777777" w:rsidR="00405526" w:rsidRDefault="00DE28A5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noProof/>
          <w:color w:val="auto"/>
        </w:rPr>
        <w:t xml:space="preserve">Dernier paragraphe : </w:t>
      </w:r>
    </w:p>
    <w:p w14:paraId="544AA366" w14:textId="77777777" w:rsidR="00281716" w:rsidRPr="00DE28A5" w:rsidRDefault="00DE28A5" w:rsidP="00863B79">
      <w:pPr>
        <w:contextualSpacing/>
        <w:rPr>
          <w:rFonts w:ascii="Times New Roman" w:hAnsi="Times New Roman"/>
          <w:bCs/>
          <w:i w:val="0"/>
          <w:iCs/>
          <w:color w:val="auto"/>
        </w:rPr>
      </w:pPr>
      <w:r w:rsidRPr="00DE28A5">
        <w:rPr>
          <w:rFonts w:ascii="Times New Roman" w:hAnsi="Times New Roman"/>
          <w:i w:val="0"/>
          <w:iCs/>
          <w:color w:val="auto"/>
        </w:rPr>
        <w:t xml:space="preserve">« Durant la période d’indemnisation au titre du dispositif APLD, les entreprises </w:t>
      </w:r>
      <w:r w:rsidRPr="00DE28A5">
        <w:rPr>
          <w:rFonts w:ascii="Times New Roman" w:hAnsi="Times New Roman"/>
          <w:i w:val="0"/>
          <w:iCs/>
          <w:color w:val="00B050"/>
        </w:rPr>
        <w:t>n’auront</w:t>
      </w:r>
      <w:r w:rsidRPr="00DE28A5">
        <w:rPr>
          <w:rFonts w:ascii="Times New Roman" w:hAnsi="Times New Roman"/>
          <w:i w:val="0"/>
          <w:iCs/>
          <w:color w:val="auto"/>
        </w:rPr>
        <w:t xml:space="preserve"> pas recours à la sous-traitance ou à l’intérim… »</w:t>
      </w:r>
    </w:p>
    <w:p w14:paraId="4E6B686E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09921EC7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  <w:r w:rsidRPr="007279AD">
        <w:rPr>
          <w:rFonts w:ascii="Times New Roman" w:hAnsi="Times New Roman"/>
          <w:bCs/>
          <w:i w:val="0"/>
          <w:color w:val="auto"/>
          <w:u w:val="single"/>
        </w:rPr>
        <w:t>Article 10</w:t>
      </w:r>
      <w:r>
        <w:rPr>
          <w:rFonts w:ascii="Times New Roman" w:hAnsi="Times New Roman"/>
          <w:bCs/>
          <w:i w:val="0"/>
          <w:color w:val="auto"/>
        </w:rPr>
        <w:t xml:space="preserve"> : </w:t>
      </w:r>
    </w:p>
    <w:p w14:paraId="45B37177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Demande d’un étoffement de cet article 10 à la demande de FO : </w:t>
      </w:r>
    </w:p>
    <w:p w14:paraId="04270B3E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Pas assez d’engagement dans la formation professionnelle.</w:t>
      </w:r>
    </w:p>
    <w:p w14:paraId="68E70DDB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Maintien des compétences mais surtout insister sur impliquer notre organisme de compétences OPCO et l’Etat </w:t>
      </w:r>
    </w:p>
    <w:p w14:paraId="030B7D94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6ADD4345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  <w:r w:rsidRPr="001A4254">
        <w:rPr>
          <w:rFonts w:ascii="Times New Roman" w:hAnsi="Times New Roman"/>
          <w:bCs/>
          <w:i w:val="0"/>
          <w:color w:val="auto"/>
          <w:u w:val="single"/>
        </w:rPr>
        <w:t>Article 11</w:t>
      </w:r>
      <w:r w:rsidR="001A4254">
        <w:rPr>
          <w:rFonts w:ascii="Times New Roman" w:hAnsi="Times New Roman"/>
          <w:bCs/>
          <w:i w:val="0"/>
          <w:color w:val="auto"/>
        </w:rPr>
        <w:t> :</w:t>
      </w:r>
    </w:p>
    <w:p w14:paraId="456AAA3A" w14:textId="77777777" w:rsidR="007279AD" w:rsidRDefault="009F3E6D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2</w:t>
      </w:r>
      <w:r w:rsidRPr="009F3E6D">
        <w:rPr>
          <w:rFonts w:ascii="Times New Roman" w:hAnsi="Times New Roman"/>
          <w:bCs/>
          <w:i w:val="0"/>
          <w:color w:val="auto"/>
          <w:vertAlign w:val="superscript"/>
        </w:rPr>
        <w:t>ème</w:t>
      </w:r>
      <w:r>
        <w:rPr>
          <w:rFonts w:ascii="Times New Roman" w:hAnsi="Times New Roman"/>
          <w:bCs/>
          <w:i w:val="0"/>
          <w:color w:val="auto"/>
        </w:rPr>
        <w:t xml:space="preserve"> paragraphe</w:t>
      </w:r>
      <w:r w:rsidR="00204274">
        <w:rPr>
          <w:rFonts w:ascii="Times New Roman" w:hAnsi="Times New Roman"/>
          <w:bCs/>
          <w:i w:val="0"/>
          <w:color w:val="auto"/>
        </w:rPr>
        <w:t xml:space="preserve"> changement du point 6</w:t>
      </w:r>
      <w:r>
        <w:rPr>
          <w:rFonts w:ascii="Times New Roman" w:hAnsi="Times New Roman"/>
          <w:bCs/>
          <w:i w:val="0"/>
          <w:color w:val="auto"/>
        </w:rPr>
        <w:t xml:space="preserve"> : </w:t>
      </w:r>
    </w:p>
    <w:p w14:paraId="28113CBA" w14:textId="77777777" w:rsidR="00204274" w:rsidRPr="00204274" w:rsidRDefault="00204274" w:rsidP="00204274">
      <w:pPr>
        <w:spacing w:before="0" w:beforeAutospacing="0" w:after="0" w:afterAutospacing="0"/>
        <w:jc w:val="both"/>
        <w:rPr>
          <w:rFonts w:ascii="Times New Roman" w:hAnsi="Times New Roman"/>
          <w:i w:val="0"/>
          <w:color w:val="auto"/>
        </w:rPr>
      </w:pPr>
      <w:r w:rsidRPr="00204274">
        <w:rPr>
          <w:rFonts w:ascii="Times New Roman" w:hAnsi="Times New Roman"/>
          <w:i w:val="0"/>
          <w:color w:val="auto"/>
        </w:rPr>
        <w:t xml:space="preserve">« Les modalités d’information du CSE sur la mise en œuvre de l’APLD. Cette information devra avoir lieu au moins tous les </w:t>
      </w:r>
      <w:r w:rsidRPr="00204274">
        <w:rPr>
          <w:rFonts w:ascii="Times New Roman" w:hAnsi="Times New Roman"/>
          <w:i w:val="0"/>
          <w:color w:val="00B050"/>
        </w:rPr>
        <w:t>2 mois. </w:t>
      </w:r>
      <w:r w:rsidRPr="00204274">
        <w:rPr>
          <w:rFonts w:ascii="Times New Roman" w:hAnsi="Times New Roman"/>
          <w:i w:val="0"/>
          <w:color w:val="auto"/>
        </w:rPr>
        <w:t xml:space="preserve">» </w:t>
      </w:r>
    </w:p>
    <w:p w14:paraId="38537440" w14:textId="77777777" w:rsidR="009F3E6D" w:rsidRDefault="009F3E6D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749F9C6E" w14:textId="77777777" w:rsidR="00204274" w:rsidRDefault="00204274" w:rsidP="00863B79">
      <w:pPr>
        <w:contextualSpacing/>
        <w:rPr>
          <w:rFonts w:ascii="Times New Roman" w:hAnsi="Times New Roman"/>
          <w:bCs/>
          <w:i w:val="0"/>
          <w:color w:val="auto"/>
        </w:rPr>
      </w:pPr>
      <w:r w:rsidRPr="00204274">
        <w:rPr>
          <w:rFonts w:ascii="Times New Roman" w:hAnsi="Times New Roman"/>
          <w:bCs/>
          <w:i w:val="0"/>
          <w:color w:val="auto"/>
          <w:u w:val="single"/>
        </w:rPr>
        <w:t>Article 12</w:t>
      </w:r>
      <w:r>
        <w:rPr>
          <w:rFonts w:ascii="Times New Roman" w:hAnsi="Times New Roman"/>
          <w:bCs/>
          <w:i w:val="0"/>
          <w:color w:val="auto"/>
        </w:rPr>
        <w:t xml:space="preserve"> : </w:t>
      </w:r>
    </w:p>
    <w:p w14:paraId="2A41185B" w14:textId="77777777" w:rsidR="00204274" w:rsidRDefault="00204274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Point à revoir pour donner suite à la partie droits et obligations du questions réponses publié sur le site du gouvernement</w:t>
      </w:r>
      <w:r w:rsidR="00FB61BA">
        <w:rPr>
          <w:rFonts w:ascii="Times New Roman" w:hAnsi="Times New Roman"/>
          <w:bCs/>
          <w:i w:val="0"/>
          <w:color w:val="auto"/>
        </w:rPr>
        <w:t> :</w:t>
      </w:r>
    </w:p>
    <w:p w14:paraId="1E502038" w14:textId="77777777" w:rsidR="00FB61BA" w:rsidRPr="00FB61BA" w:rsidRDefault="00FB61BA" w:rsidP="00863B79">
      <w:pPr>
        <w:contextualSpacing/>
        <w:rPr>
          <w:rStyle w:val="lev"/>
          <w:rFonts w:ascii="Times New Roman" w:hAnsi="Times New Roman"/>
          <w:i w:val="0"/>
          <w:iCs/>
          <w:color w:val="auto"/>
        </w:rPr>
      </w:pPr>
      <w:r w:rsidRPr="00FB61BA">
        <w:rPr>
          <w:rStyle w:val="lev"/>
          <w:rFonts w:ascii="Times New Roman" w:hAnsi="Times New Roman"/>
          <w:i w:val="0"/>
          <w:iCs/>
          <w:color w:val="auto"/>
        </w:rPr>
        <w:t>Quelles sont les nouvelles obligations de l’employeur en contrepartie du versement par l’Etat des allocations au titre de l’activité partielle et de l’APLD ?</w:t>
      </w:r>
    </w:p>
    <w:p w14:paraId="02F0D0ED" w14:textId="77777777" w:rsidR="00FB61BA" w:rsidRPr="00FB61BA" w:rsidRDefault="00FB61BA" w:rsidP="00863B79">
      <w:pPr>
        <w:contextualSpacing/>
        <w:rPr>
          <w:rFonts w:ascii="Times New Roman" w:hAnsi="Times New Roman"/>
          <w:bCs/>
          <w:i w:val="0"/>
          <w:iCs/>
          <w:color w:val="auto"/>
        </w:rPr>
      </w:pPr>
      <w:r w:rsidRPr="00FB61BA">
        <w:rPr>
          <w:rFonts w:ascii="Times New Roman" w:hAnsi="Times New Roman"/>
          <w:i w:val="0"/>
          <w:iCs/>
          <w:color w:val="auto"/>
        </w:rPr>
        <w:t>De communiquer au CSE le montant, la nature et l’utilisation des aides dont elles bénéficient au titre des crédits de la mission « Plan de relance », dans le cadre de la consultation annuelle sur les orientations stratégiques de l’entreprise</w:t>
      </w:r>
      <w:r>
        <w:rPr>
          <w:rFonts w:ascii="Times New Roman" w:hAnsi="Times New Roman"/>
          <w:i w:val="0"/>
          <w:iCs/>
          <w:color w:val="auto"/>
        </w:rPr>
        <w:t xml:space="preserve"> (pour </w:t>
      </w:r>
      <w:proofErr w:type="gramStart"/>
      <w:r>
        <w:rPr>
          <w:rFonts w:ascii="Times New Roman" w:hAnsi="Times New Roman"/>
          <w:i w:val="0"/>
          <w:iCs/>
          <w:color w:val="auto"/>
        </w:rPr>
        <w:t>les entreprise</w:t>
      </w:r>
      <w:proofErr w:type="gramEnd"/>
      <w:r>
        <w:rPr>
          <w:rFonts w:ascii="Times New Roman" w:hAnsi="Times New Roman"/>
          <w:i w:val="0"/>
          <w:iCs/>
          <w:color w:val="auto"/>
        </w:rPr>
        <w:t xml:space="preserve"> de plus de 50 salariés).</w:t>
      </w:r>
    </w:p>
    <w:p w14:paraId="6B8BB9A2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6A5D7C21" w14:textId="77777777" w:rsidR="007279AD" w:rsidRDefault="007279AD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F6FEDB5" w14:textId="77777777" w:rsidR="00106BC7" w:rsidRPr="005711EA" w:rsidRDefault="00106BC7" w:rsidP="00106BC7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  <w:r>
        <w:rPr>
          <w:rFonts w:ascii="Times New Roman" w:hAnsi="Times New Roman"/>
          <w:b/>
          <w:bCs/>
          <w:i w:val="0"/>
          <w:color w:val="0000FF"/>
          <w:sz w:val="26"/>
          <w:szCs w:val="26"/>
          <w:u w:val="single"/>
        </w:rPr>
        <w:t>Questions diverses</w:t>
      </w:r>
      <w:r w:rsidRPr="00106BC7">
        <w:rPr>
          <w:rFonts w:ascii="Times New Roman" w:hAnsi="Times New Roman"/>
          <w:b/>
          <w:bCs/>
          <w:i w:val="0"/>
          <w:color w:val="0000FF"/>
          <w:sz w:val="26"/>
          <w:szCs w:val="26"/>
        </w:rPr>
        <w:t> :</w:t>
      </w:r>
    </w:p>
    <w:p w14:paraId="23FF0BED" w14:textId="77777777" w:rsidR="0021483D" w:rsidRDefault="0021483D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0A794E67" w14:textId="77777777" w:rsidR="0021483D" w:rsidRPr="004D1EA0" w:rsidRDefault="0021483D" w:rsidP="00863B79">
      <w:pPr>
        <w:contextualSpacing/>
        <w:rPr>
          <w:rFonts w:ascii="Times New Roman" w:hAnsi="Times New Roman"/>
          <w:b/>
          <w:i w:val="0"/>
          <w:color w:val="auto"/>
        </w:rPr>
      </w:pPr>
      <w:r w:rsidRPr="004D1EA0">
        <w:rPr>
          <w:rFonts w:ascii="Times New Roman" w:hAnsi="Times New Roman"/>
          <w:b/>
          <w:i w:val="0"/>
          <w:color w:val="auto"/>
        </w:rPr>
        <w:t xml:space="preserve">Le </w:t>
      </w:r>
      <w:r w:rsidR="004D1EA0" w:rsidRPr="004D1EA0">
        <w:rPr>
          <w:rFonts w:ascii="Times New Roman" w:hAnsi="Times New Roman"/>
          <w:b/>
          <w:i w:val="0"/>
          <w:color w:val="auto"/>
        </w:rPr>
        <w:t>réembauchage</w:t>
      </w:r>
      <w:r w:rsidRPr="004D1EA0">
        <w:rPr>
          <w:rFonts w:ascii="Times New Roman" w:hAnsi="Times New Roman"/>
          <w:b/>
          <w:i w:val="0"/>
          <w:color w:val="auto"/>
        </w:rPr>
        <w:t xml:space="preserve"> des primo</w:t>
      </w:r>
      <w:r w:rsidR="004D1EA0" w:rsidRPr="004D1EA0">
        <w:rPr>
          <w:rFonts w:ascii="Times New Roman" w:hAnsi="Times New Roman"/>
          <w:b/>
          <w:i w:val="0"/>
          <w:color w:val="auto"/>
        </w:rPr>
        <w:t>-</w:t>
      </w:r>
      <w:r w:rsidRPr="004D1EA0">
        <w:rPr>
          <w:rFonts w:ascii="Times New Roman" w:hAnsi="Times New Roman"/>
          <w:b/>
          <w:i w:val="0"/>
          <w:color w:val="auto"/>
        </w:rPr>
        <w:t xml:space="preserve">saisonniers : </w:t>
      </w:r>
    </w:p>
    <w:p w14:paraId="6AC18DF2" w14:textId="77777777" w:rsidR="004D1EA0" w:rsidRPr="004D1EA0" w:rsidRDefault="004D1EA0" w:rsidP="004D1EA0">
      <w:pPr>
        <w:contextualSpacing/>
        <w:rPr>
          <w:rFonts w:ascii="Times New Roman" w:hAnsi="Times New Roman"/>
          <w:b/>
          <w:bCs/>
          <w:i w:val="0"/>
          <w:iCs/>
          <w:color w:val="auto"/>
        </w:rPr>
      </w:pPr>
      <w:r w:rsidRPr="004D1EA0">
        <w:rPr>
          <w:rFonts w:ascii="Times New Roman" w:hAnsi="Times New Roman"/>
          <w:i w:val="0"/>
          <w:iCs/>
          <w:color w:val="auto"/>
        </w:rPr>
        <w:t>Le réembauchage des primo</w:t>
      </w:r>
      <w:r>
        <w:rPr>
          <w:rFonts w:ascii="Times New Roman" w:hAnsi="Times New Roman"/>
          <w:i w:val="0"/>
          <w:iCs/>
          <w:color w:val="auto"/>
        </w:rPr>
        <w:t>-</w:t>
      </w:r>
      <w:r w:rsidRPr="004D1EA0">
        <w:rPr>
          <w:rFonts w:ascii="Times New Roman" w:hAnsi="Times New Roman"/>
          <w:i w:val="0"/>
          <w:iCs/>
          <w:color w:val="auto"/>
        </w:rPr>
        <w:t xml:space="preserve">saisonniers de cette saison qui n’ont malheureusement pas valider leur saison car en activité partielle totale </w:t>
      </w:r>
      <w:r w:rsidRPr="004D1EA0">
        <w:rPr>
          <w:rFonts w:ascii="Times New Roman" w:hAnsi="Times New Roman"/>
          <w:i w:val="0"/>
          <w:iCs/>
          <w:color w:val="FF0000"/>
        </w:rPr>
        <w:t>(en attente de validation par l’avocat de DSF).</w:t>
      </w:r>
    </w:p>
    <w:p w14:paraId="1E6F7686" w14:textId="77777777" w:rsidR="004D1EA0" w:rsidRPr="004D1EA0" w:rsidRDefault="004D1EA0" w:rsidP="004D1EA0">
      <w:pPr>
        <w:contextualSpacing/>
        <w:rPr>
          <w:rFonts w:ascii="Times New Roman" w:hAnsi="Times New Roman"/>
          <w:i w:val="0"/>
          <w:iCs/>
          <w:color w:val="auto"/>
        </w:rPr>
      </w:pPr>
      <w:r w:rsidRPr="004D1EA0">
        <w:rPr>
          <w:rFonts w:ascii="Times New Roman" w:hAnsi="Times New Roman"/>
          <w:i w:val="0"/>
          <w:iCs/>
          <w:color w:val="auto"/>
        </w:rPr>
        <w:t>« Exceptionnellement, du fait de la crise sanitaire, les salariés primo embauchés n’ayant pas effectué physiquement dans l’ent</w:t>
      </w:r>
      <w:r w:rsidR="008B37A9">
        <w:rPr>
          <w:rFonts w:ascii="Times New Roman" w:hAnsi="Times New Roman"/>
          <w:i w:val="0"/>
          <w:iCs/>
          <w:color w:val="auto"/>
        </w:rPr>
        <w:t>reprise leur contrat de travail</w:t>
      </w:r>
      <w:r w:rsidRPr="004D1EA0">
        <w:rPr>
          <w:rFonts w:ascii="Times New Roman" w:hAnsi="Times New Roman"/>
          <w:i w:val="0"/>
          <w:iCs/>
          <w:color w:val="auto"/>
        </w:rPr>
        <w:t xml:space="preserve"> </w:t>
      </w:r>
      <w:r w:rsidR="008B37A9">
        <w:rPr>
          <w:rFonts w:ascii="Times New Roman" w:hAnsi="Times New Roman"/>
          <w:i w:val="0"/>
          <w:iCs/>
          <w:color w:val="auto"/>
        </w:rPr>
        <w:t xml:space="preserve">et </w:t>
      </w:r>
      <w:r w:rsidRPr="004D1EA0">
        <w:rPr>
          <w:rFonts w:ascii="Times New Roman" w:hAnsi="Times New Roman"/>
          <w:i w:val="0"/>
          <w:iCs/>
          <w:color w:val="auto"/>
        </w:rPr>
        <w:t>n’ayant pu être jugés sur la qualité de leurs compétences, se verront automatiquement embauché</w:t>
      </w:r>
      <w:r>
        <w:rPr>
          <w:rFonts w:ascii="Times New Roman" w:hAnsi="Times New Roman"/>
          <w:i w:val="0"/>
          <w:iCs/>
          <w:color w:val="auto"/>
        </w:rPr>
        <w:t>s</w:t>
      </w:r>
      <w:r w:rsidRPr="004D1EA0">
        <w:rPr>
          <w:rFonts w:ascii="Times New Roman" w:hAnsi="Times New Roman"/>
          <w:i w:val="0"/>
          <w:iCs/>
          <w:color w:val="auto"/>
        </w:rPr>
        <w:t xml:space="preserve"> la saison suivante en qualité de </w:t>
      </w:r>
      <w:proofErr w:type="spellStart"/>
      <w:r w:rsidRPr="004D1EA0">
        <w:rPr>
          <w:rFonts w:ascii="Times New Roman" w:hAnsi="Times New Roman"/>
          <w:i w:val="0"/>
          <w:iCs/>
          <w:color w:val="auto"/>
        </w:rPr>
        <w:t>primos</w:t>
      </w:r>
      <w:proofErr w:type="spellEnd"/>
      <w:r w:rsidRPr="004D1EA0">
        <w:rPr>
          <w:rFonts w:ascii="Times New Roman" w:hAnsi="Times New Roman"/>
          <w:i w:val="0"/>
          <w:iCs/>
          <w:color w:val="auto"/>
        </w:rPr>
        <w:t>-saisonnier, mais devront faire l’objet d’une période d’essai, et ce n’est qu’à l’issue de la saison qu’ils pourront prétendre au bénéfice de la reconduction. »</w:t>
      </w:r>
    </w:p>
    <w:p w14:paraId="3522C4F4" w14:textId="77777777" w:rsidR="004D1EA0" w:rsidRDefault="004D1EA0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1EA890E" w14:textId="77777777" w:rsidR="003755F1" w:rsidRDefault="003755F1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6D988B57" w14:textId="77777777" w:rsidR="003755F1" w:rsidRDefault="003755F1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0267DB9" w14:textId="77777777" w:rsidR="004A44CA" w:rsidRDefault="00042E85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Une prochaine rencontre est prévue </w:t>
      </w:r>
      <w:r w:rsidR="004A44CA">
        <w:rPr>
          <w:rFonts w:ascii="Times New Roman" w:hAnsi="Times New Roman"/>
          <w:bCs/>
          <w:i w:val="0"/>
          <w:color w:val="auto"/>
        </w:rPr>
        <w:t xml:space="preserve">dès lors d’une avancée avec le Ministère du travail </w:t>
      </w:r>
    </w:p>
    <w:p w14:paraId="2FB1D216" w14:textId="77777777" w:rsidR="00042E85" w:rsidRPr="00381C51" w:rsidRDefault="004D1EA0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Concernant l’intégration des saisonniers dans l’activité partielle longue durée.</w:t>
      </w:r>
    </w:p>
    <w:p w14:paraId="53D57274" w14:textId="77777777" w:rsidR="00F423E2" w:rsidRPr="00F423E2" w:rsidRDefault="00F423E2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3E94AB86" w14:textId="77777777" w:rsidR="003134E9" w:rsidRDefault="003134E9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68851648" w14:textId="77777777" w:rsidR="003109C0" w:rsidRPr="0010639A" w:rsidRDefault="003109C0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sectPr w:rsidR="003109C0" w:rsidRPr="0010639A" w:rsidSect="00732939">
      <w:pgSz w:w="11906" w:h="16838"/>
      <w:pgMar w:top="426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55DA"/>
    <w:multiLevelType w:val="hybridMultilevel"/>
    <w:tmpl w:val="A3EE5E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B"/>
    <w:rsid w:val="00042E85"/>
    <w:rsid w:val="000510D3"/>
    <w:rsid w:val="000542F3"/>
    <w:rsid w:val="00061633"/>
    <w:rsid w:val="000666A3"/>
    <w:rsid w:val="0009707B"/>
    <w:rsid w:val="000C199D"/>
    <w:rsid w:val="000C4EFE"/>
    <w:rsid w:val="000C5EA3"/>
    <w:rsid w:val="000E3FEA"/>
    <w:rsid w:val="000E6A03"/>
    <w:rsid w:val="000F52F9"/>
    <w:rsid w:val="0010639A"/>
    <w:rsid w:val="00106BC7"/>
    <w:rsid w:val="00131CC2"/>
    <w:rsid w:val="00137954"/>
    <w:rsid w:val="00144B1A"/>
    <w:rsid w:val="001A0628"/>
    <w:rsid w:val="001A4254"/>
    <w:rsid w:val="001B6BC9"/>
    <w:rsid w:val="001C0666"/>
    <w:rsid w:val="001E1E6A"/>
    <w:rsid w:val="001F316E"/>
    <w:rsid w:val="002034CF"/>
    <w:rsid w:val="00204274"/>
    <w:rsid w:val="0020470C"/>
    <w:rsid w:val="00213719"/>
    <w:rsid w:val="0021483D"/>
    <w:rsid w:val="00223C58"/>
    <w:rsid w:val="002305E9"/>
    <w:rsid w:val="00236514"/>
    <w:rsid w:val="00241D1D"/>
    <w:rsid w:val="002444EC"/>
    <w:rsid w:val="002625FE"/>
    <w:rsid w:val="00281716"/>
    <w:rsid w:val="00283F36"/>
    <w:rsid w:val="002957BB"/>
    <w:rsid w:val="002A140B"/>
    <w:rsid w:val="002B0E2E"/>
    <w:rsid w:val="002B488F"/>
    <w:rsid w:val="002B7F7F"/>
    <w:rsid w:val="002D3A07"/>
    <w:rsid w:val="002F2632"/>
    <w:rsid w:val="003109C0"/>
    <w:rsid w:val="003134E9"/>
    <w:rsid w:val="003246B8"/>
    <w:rsid w:val="0032502B"/>
    <w:rsid w:val="0032689A"/>
    <w:rsid w:val="00366A59"/>
    <w:rsid w:val="003755F1"/>
    <w:rsid w:val="00375E4B"/>
    <w:rsid w:val="00380B4B"/>
    <w:rsid w:val="00381C51"/>
    <w:rsid w:val="00383F9C"/>
    <w:rsid w:val="00396249"/>
    <w:rsid w:val="003A5A04"/>
    <w:rsid w:val="003F0FA6"/>
    <w:rsid w:val="00401861"/>
    <w:rsid w:val="00405526"/>
    <w:rsid w:val="00407277"/>
    <w:rsid w:val="00417161"/>
    <w:rsid w:val="00417A5C"/>
    <w:rsid w:val="00443C3E"/>
    <w:rsid w:val="00445F17"/>
    <w:rsid w:val="0045480F"/>
    <w:rsid w:val="00456E91"/>
    <w:rsid w:val="00463722"/>
    <w:rsid w:val="00464C43"/>
    <w:rsid w:val="00471003"/>
    <w:rsid w:val="004918F0"/>
    <w:rsid w:val="004A44CA"/>
    <w:rsid w:val="004D1EA0"/>
    <w:rsid w:val="004D34E8"/>
    <w:rsid w:val="004D6768"/>
    <w:rsid w:val="004E6C80"/>
    <w:rsid w:val="004E76AF"/>
    <w:rsid w:val="004F52DB"/>
    <w:rsid w:val="005201A8"/>
    <w:rsid w:val="0052161B"/>
    <w:rsid w:val="0052212A"/>
    <w:rsid w:val="00542074"/>
    <w:rsid w:val="00554953"/>
    <w:rsid w:val="00563B76"/>
    <w:rsid w:val="005711EA"/>
    <w:rsid w:val="00572B42"/>
    <w:rsid w:val="005746D7"/>
    <w:rsid w:val="00591F30"/>
    <w:rsid w:val="0059451A"/>
    <w:rsid w:val="00596FD2"/>
    <w:rsid w:val="005B1CFE"/>
    <w:rsid w:val="005C3729"/>
    <w:rsid w:val="005D47A0"/>
    <w:rsid w:val="005E6A87"/>
    <w:rsid w:val="005F4E90"/>
    <w:rsid w:val="005F54B0"/>
    <w:rsid w:val="00613D9B"/>
    <w:rsid w:val="00614691"/>
    <w:rsid w:val="00626C68"/>
    <w:rsid w:val="0063115C"/>
    <w:rsid w:val="00637084"/>
    <w:rsid w:val="0064248C"/>
    <w:rsid w:val="006502DB"/>
    <w:rsid w:val="00651C0E"/>
    <w:rsid w:val="00662507"/>
    <w:rsid w:val="00673A37"/>
    <w:rsid w:val="006A4608"/>
    <w:rsid w:val="006B3230"/>
    <w:rsid w:val="006B52F2"/>
    <w:rsid w:val="006E3536"/>
    <w:rsid w:val="006F14E5"/>
    <w:rsid w:val="007046B1"/>
    <w:rsid w:val="007279AD"/>
    <w:rsid w:val="00732939"/>
    <w:rsid w:val="0074053C"/>
    <w:rsid w:val="00761690"/>
    <w:rsid w:val="00762CFB"/>
    <w:rsid w:val="00771FC0"/>
    <w:rsid w:val="00776981"/>
    <w:rsid w:val="0077736B"/>
    <w:rsid w:val="007954A2"/>
    <w:rsid w:val="00797DA7"/>
    <w:rsid w:val="007B3355"/>
    <w:rsid w:val="007B533D"/>
    <w:rsid w:val="007E12EC"/>
    <w:rsid w:val="007E194B"/>
    <w:rsid w:val="007F122F"/>
    <w:rsid w:val="007F4539"/>
    <w:rsid w:val="00835CF6"/>
    <w:rsid w:val="00842257"/>
    <w:rsid w:val="00847296"/>
    <w:rsid w:val="00847D7A"/>
    <w:rsid w:val="00863B79"/>
    <w:rsid w:val="00864625"/>
    <w:rsid w:val="00866230"/>
    <w:rsid w:val="008673D0"/>
    <w:rsid w:val="00876650"/>
    <w:rsid w:val="008903B9"/>
    <w:rsid w:val="008A29BF"/>
    <w:rsid w:val="008B37A9"/>
    <w:rsid w:val="008C4075"/>
    <w:rsid w:val="008E2667"/>
    <w:rsid w:val="008E5910"/>
    <w:rsid w:val="008E6C4F"/>
    <w:rsid w:val="00904FC0"/>
    <w:rsid w:val="00906D25"/>
    <w:rsid w:val="009244C3"/>
    <w:rsid w:val="00924C6C"/>
    <w:rsid w:val="00930C90"/>
    <w:rsid w:val="009317F0"/>
    <w:rsid w:val="009450E8"/>
    <w:rsid w:val="00946A82"/>
    <w:rsid w:val="00951E9F"/>
    <w:rsid w:val="00985DEF"/>
    <w:rsid w:val="0099091B"/>
    <w:rsid w:val="009A42C9"/>
    <w:rsid w:val="009B7834"/>
    <w:rsid w:val="009C001E"/>
    <w:rsid w:val="009D340D"/>
    <w:rsid w:val="009E4C12"/>
    <w:rsid w:val="009F3E6D"/>
    <w:rsid w:val="009F6E1E"/>
    <w:rsid w:val="00A04513"/>
    <w:rsid w:val="00A20A5B"/>
    <w:rsid w:val="00A24F05"/>
    <w:rsid w:val="00A34087"/>
    <w:rsid w:val="00A3661A"/>
    <w:rsid w:val="00A60905"/>
    <w:rsid w:val="00A81F96"/>
    <w:rsid w:val="00AA4D62"/>
    <w:rsid w:val="00AC72BA"/>
    <w:rsid w:val="00AE39C5"/>
    <w:rsid w:val="00AE6E57"/>
    <w:rsid w:val="00B0063A"/>
    <w:rsid w:val="00B06388"/>
    <w:rsid w:val="00B10D07"/>
    <w:rsid w:val="00B60DB3"/>
    <w:rsid w:val="00B76DE6"/>
    <w:rsid w:val="00B851BB"/>
    <w:rsid w:val="00B962AF"/>
    <w:rsid w:val="00BA2120"/>
    <w:rsid w:val="00BB3510"/>
    <w:rsid w:val="00BF570D"/>
    <w:rsid w:val="00C0541E"/>
    <w:rsid w:val="00C14F84"/>
    <w:rsid w:val="00C271A0"/>
    <w:rsid w:val="00C320F4"/>
    <w:rsid w:val="00C37AF1"/>
    <w:rsid w:val="00C43077"/>
    <w:rsid w:val="00C707D3"/>
    <w:rsid w:val="00C73860"/>
    <w:rsid w:val="00C81161"/>
    <w:rsid w:val="00C85DB4"/>
    <w:rsid w:val="00CC4B3F"/>
    <w:rsid w:val="00CD7948"/>
    <w:rsid w:val="00D00399"/>
    <w:rsid w:val="00D1515F"/>
    <w:rsid w:val="00D24ABC"/>
    <w:rsid w:val="00D26CB6"/>
    <w:rsid w:val="00D42952"/>
    <w:rsid w:val="00D609BF"/>
    <w:rsid w:val="00D957A7"/>
    <w:rsid w:val="00D96261"/>
    <w:rsid w:val="00D97F23"/>
    <w:rsid w:val="00DA2B6E"/>
    <w:rsid w:val="00DA52B5"/>
    <w:rsid w:val="00DB4E2C"/>
    <w:rsid w:val="00DC3804"/>
    <w:rsid w:val="00DE033F"/>
    <w:rsid w:val="00DE28A5"/>
    <w:rsid w:val="00E2168E"/>
    <w:rsid w:val="00E26FFA"/>
    <w:rsid w:val="00E327D8"/>
    <w:rsid w:val="00E64893"/>
    <w:rsid w:val="00E76FB2"/>
    <w:rsid w:val="00E8358E"/>
    <w:rsid w:val="00E85B1B"/>
    <w:rsid w:val="00E85D64"/>
    <w:rsid w:val="00EB437A"/>
    <w:rsid w:val="00EC64F6"/>
    <w:rsid w:val="00ED0006"/>
    <w:rsid w:val="00ED481C"/>
    <w:rsid w:val="00ED4F42"/>
    <w:rsid w:val="00ED6014"/>
    <w:rsid w:val="00EF0904"/>
    <w:rsid w:val="00EF65AF"/>
    <w:rsid w:val="00F11E7C"/>
    <w:rsid w:val="00F26323"/>
    <w:rsid w:val="00F423E2"/>
    <w:rsid w:val="00F454CA"/>
    <w:rsid w:val="00F4634C"/>
    <w:rsid w:val="00F77297"/>
    <w:rsid w:val="00F82C44"/>
    <w:rsid w:val="00F86A0D"/>
    <w:rsid w:val="00FB61BA"/>
    <w:rsid w:val="00FC73E7"/>
    <w:rsid w:val="00FD1156"/>
    <w:rsid w:val="00FE3626"/>
    <w:rsid w:val="00FF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B9A7A"/>
  <w15:docId w15:val="{FFA3FAEF-5984-4A07-8C01-882ACC58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61"/>
    <w:pPr>
      <w:spacing w:before="100" w:beforeAutospacing="1" w:after="100" w:afterAutospacing="1"/>
    </w:pPr>
    <w:rPr>
      <w:rFonts w:ascii="Bookman Old Style" w:hAnsi="Bookman Old Style"/>
      <w:i/>
      <w:color w:val="000080"/>
      <w:sz w:val="24"/>
      <w:szCs w:val="24"/>
    </w:rPr>
  </w:style>
  <w:style w:type="paragraph" w:styleId="Titre1">
    <w:name w:val="heading 1"/>
    <w:basedOn w:val="Normal"/>
    <w:next w:val="Normal"/>
    <w:qFormat/>
    <w:rsid w:val="00417161"/>
    <w:pPr>
      <w:keepNext/>
      <w:outlineLvl w:val="0"/>
    </w:pPr>
    <w:rPr>
      <w:b/>
      <w:bCs/>
      <w:i w:val="0"/>
      <w:iCs/>
    </w:rPr>
  </w:style>
  <w:style w:type="paragraph" w:styleId="Titre2">
    <w:name w:val="heading 2"/>
    <w:basedOn w:val="Normal"/>
    <w:next w:val="Normal"/>
    <w:qFormat/>
    <w:rsid w:val="00417161"/>
    <w:pPr>
      <w:keepNext/>
      <w:spacing w:after="60"/>
      <w:ind w:left="2268" w:right="567" w:hanging="2268"/>
      <w:jc w:val="both"/>
      <w:outlineLvl w:val="1"/>
    </w:pPr>
    <w:rPr>
      <w:b/>
      <w:bCs/>
      <w:i w:val="0"/>
      <w:iCs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02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78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17161"/>
    <w:pPr>
      <w:jc w:val="center"/>
    </w:pPr>
    <w:rPr>
      <w:i w:val="0"/>
      <w:iCs/>
      <w:sz w:val="32"/>
    </w:rPr>
  </w:style>
  <w:style w:type="paragraph" w:styleId="Corpsdetexte2">
    <w:name w:val="Body Text 2"/>
    <w:basedOn w:val="Normal"/>
    <w:semiHidden/>
    <w:rsid w:val="00417161"/>
    <w:rPr>
      <w:i w:val="0"/>
      <w:iCs/>
    </w:rPr>
  </w:style>
  <w:style w:type="paragraph" w:styleId="Corpsdetexte3">
    <w:name w:val="Body Text 3"/>
    <w:basedOn w:val="Normal"/>
    <w:semiHidden/>
    <w:rsid w:val="00417161"/>
    <w:rPr>
      <w:b/>
      <w:bCs/>
      <w:i w:val="0"/>
      <w:iCs/>
    </w:rPr>
  </w:style>
  <w:style w:type="paragraph" w:styleId="En-tte">
    <w:name w:val="header"/>
    <w:basedOn w:val="Normal"/>
    <w:semiHidden/>
    <w:rsid w:val="00417161"/>
    <w:rPr>
      <w:rFonts w:ascii="Times New Roman" w:hAnsi="Times New Roman"/>
      <w:i w:val="0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F42"/>
    <w:pPr>
      <w:spacing w:before="0"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4F42"/>
    <w:rPr>
      <w:rFonts w:ascii="Tahoma" w:hAnsi="Tahoma" w:cs="Tahoma"/>
      <w:i/>
      <w:color w:val="000080"/>
      <w:sz w:val="16"/>
      <w:szCs w:val="16"/>
    </w:rPr>
  </w:style>
  <w:style w:type="character" w:customStyle="1" w:styleId="Titre3Car">
    <w:name w:val="Titre 3 Car"/>
    <w:link w:val="Titre3"/>
    <w:uiPriority w:val="9"/>
    <w:semiHidden/>
    <w:rsid w:val="006502DB"/>
    <w:rPr>
      <w:rFonts w:ascii="Cambria" w:eastAsia="Times New Roman" w:hAnsi="Cambria" w:cs="Times New Roman"/>
      <w:b/>
      <w:bCs/>
      <w:i/>
      <w:color w:val="000080"/>
      <w:sz w:val="26"/>
      <w:szCs w:val="26"/>
    </w:rPr>
  </w:style>
  <w:style w:type="character" w:styleId="Lienhypertexte">
    <w:name w:val="Hyperlink"/>
    <w:uiPriority w:val="99"/>
    <w:semiHidden/>
    <w:unhideWhenUsed/>
    <w:rsid w:val="006502DB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137954"/>
    <w:pPr>
      <w:spacing w:before="0" w:beforeAutospacing="0" w:after="0" w:afterAutospacing="0"/>
      <w:jc w:val="both"/>
    </w:pPr>
    <w:rPr>
      <w:rFonts w:ascii="Times New Roman" w:hAnsi="Times New Roman"/>
      <w:b/>
      <w:bCs/>
      <w:i w:val="0"/>
      <w:color w:val="auto"/>
      <w:sz w:val="20"/>
      <w:szCs w:val="20"/>
    </w:rPr>
  </w:style>
  <w:style w:type="character" w:customStyle="1" w:styleId="Sous-titreCar">
    <w:name w:val="Sous-titre Car"/>
    <w:link w:val="Sous-titre"/>
    <w:rsid w:val="00137954"/>
    <w:rPr>
      <w:b/>
      <w:bCs/>
      <w:color w:val="auto"/>
      <w:sz w:val="20"/>
      <w:szCs w:val="20"/>
    </w:rPr>
  </w:style>
  <w:style w:type="character" w:styleId="lev">
    <w:name w:val="Strong"/>
    <w:uiPriority w:val="22"/>
    <w:qFormat/>
    <w:rsid w:val="00D962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6261"/>
    <w:rPr>
      <w:rFonts w:ascii="Times New Roman" w:hAnsi="Times New Roman"/>
      <w:i w:val="0"/>
      <w:color w:val="auto"/>
    </w:rPr>
  </w:style>
  <w:style w:type="character" w:customStyle="1" w:styleId="CorpsdetexteCar">
    <w:name w:val="Corps de texte Car"/>
    <w:link w:val="Corpsdetexte"/>
    <w:semiHidden/>
    <w:rsid w:val="00E8358E"/>
    <w:rPr>
      <w:rFonts w:ascii="Bookman Old Style" w:hAnsi="Bookman Old Style"/>
      <w:iCs/>
      <w:color w:val="000080"/>
      <w:sz w:val="32"/>
      <w:szCs w:val="24"/>
    </w:rPr>
  </w:style>
  <w:style w:type="paragraph" w:customStyle="1" w:styleId="Titre11">
    <w:name w:val="Titre 11"/>
    <w:basedOn w:val="Normal"/>
    <w:uiPriority w:val="1"/>
    <w:qFormat/>
    <w:rsid w:val="004918F0"/>
    <w:pPr>
      <w:widowControl w:val="0"/>
      <w:autoSpaceDE w:val="0"/>
      <w:autoSpaceDN w:val="0"/>
      <w:spacing w:before="0" w:beforeAutospacing="0" w:after="0" w:afterAutospacing="0" w:line="220" w:lineRule="exact"/>
      <w:ind w:left="2084"/>
      <w:outlineLvl w:val="1"/>
    </w:pPr>
    <w:rPr>
      <w:rFonts w:ascii="Arial" w:eastAsia="Arial" w:hAnsi="Arial" w:cs="Arial"/>
      <w:b/>
      <w:bCs/>
      <w:i w:val="0"/>
      <w:color w:val="auto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1"/>
    <w:qFormat/>
    <w:rsid w:val="004918F0"/>
    <w:pPr>
      <w:widowControl w:val="0"/>
      <w:autoSpaceDE w:val="0"/>
      <w:autoSpaceDN w:val="0"/>
      <w:spacing w:before="0" w:beforeAutospacing="0" w:after="0" w:afterAutospacing="0"/>
      <w:ind w:left="2511" w:hanging="286"/>
    </w:pPr>
    <w:rPr>
      <w:rFonts w:ascii="Arial" w:eastAsia="Arial" w:hAnsi="Arial" w:cs="Arial"/>
      <w:i w:val="0"/>
      <w:color w:val="auto"/>
      <w:sz w:val="22"/>
      <w:szCs w:val="22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9B7834"/>
    <w:rPr>
      <w:rFonts w:asciiTheme="majorHAnsi" w:eastAsiaTheme="majorEastAsia" w:hAnsiTheme="majorHAnsi" w:cstheme="majorBidi"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427E-96DE-4B85-9DA3-2C504C49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Commission Paritaire Nationale des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Commission Paritaire Nationale des</dc:title>
  <dc:subject/>
  <dc:creator>Eric</dc:creator>
  <cp:keywords/>
  <cp:lastModifiedBy>Benoit Le Jannou</cp:lastModifiedBy>
  <cp:revision>3</cp:revision>
  <cp:lastPrinted>2021-07-12T06:55:00Z</cp:lastPrinted>
  <dcterms:created xsi:type="dcterms:W3CDTF">2021-07-06T14:29:00Z</dcterms:created>
  <dcterms:modified xsi:type="dcterms:W3CDTF">2021-07-12T06:56:00Z</dcterms:modified>
</cp:coreProperties>
</file>